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1619</w:t>
        <w:t xml:space="preserve">.  </w:t>
      </w:r>
      <w:r>
        <w:rPr>
          <w:b/>
        </w:rPr>
        <w:t xml:space="preserve">Receipt of federal appropriation money</w:t>
      </w:r>
    </w:p>
    <w:p>
      <w:pPr>
        <w:jc w:val="both"/>
        <w:spacing w:before="100" w:after="100"/>
        <w:ind w:start="360"/>
        <w:ind w:firstLine="360"/>
      </w:pPr>
      <w:r>
        <w:rPr/>
      </w:r>
      <w:r>
        <w:rPr/>
      </w:r>
      <w:r>
        <w:t xml:space="preserve">The Treasurer of State may receive from the Federal Government any amount of money as appropriated, allocated, granted, turned over or in any way provided for the purposes of this subchapter.  In connection with the financing of qualified transportation projects, these amounts must be credited to and deposited in the Federal Expenditures Fund and are available to the bank.</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§1619. Receipt of federal appropriation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§1619. Receipt of federal appropriation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§1619. RECEIPT OF FEDERAL APPROPRIATION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