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Title</w:t>
      </w:r>
    </w:p>
    <w:p>
      <w:pPr>
        <w:jc w:val="both"/>
        <w:spacing w:before="100" w:after="100"/>
        <w:ind w:start="360"/>
        <w:ind w:firstLine="360"/>
      </w:pPr>
      <w:r>
        <w:rPr/>
      </w:r>
      <w:r>
        <w:rPr/>
      </w:r>
      <w:r>
        <w:t xml:space="preserve">This subchapter shall be known as the "Maine Automobile Insurance Cancellation Control Act." Unless otherwise specified, all hearings held under this subchapter shall conform to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1977, c. 694, §425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