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w:t>
        <w:t xml:space="preserve">.  </w:t>
      </w:r>
      <w:r>
        <w:rPr>
          <w:b/>
        </w:rPr>
        <w:t xml:space="preserve">Who may convene a court-martial</w:t>
      </w:r>
    </w:p>
    <w:p>
      <w:pPr>
        <w:jc w:val="both"/>
        <w:spacing w:before="100" w:after="100"/>
        <w:ind w:start="360"/>
      </w:pPr>
      <w:r>
        <w:rPr>
          <w:b/>
        </w:rPr>
        <w:t>(REALLOCATED TO TITLE 37-A, SECTION 1318)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§1318. Who may convene a court-martial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 Who may convene a court-martial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§1318. WHO MAY CONVENE A COURT-MARTIAL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