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Compact administrator</w:t>
      </w:r>
    </w:p>
    <w:p>
      <w:pPr>
        <w:jc w:val="both"/>
        <w:spacing w:before="100" w:after="100"/>
        <w:ind w:start="360"/>
        <w:ind w:firstLine="360"/>
      </w:pPr>
      <w:r>
        <w:rPr/>
      </w:r>
      <w:r>
        <w:rPr/>
      </w:r>
      <w:r>
        <w:t xml:space="preserve">The State Librarian shall be the compact administrator pursuant to </w:t>
      </w:r>
      <w:r>
        <w:t>Article X</w:t>
      </w:r>
      <w:r>
        <w:t xml:space="preserve"> of the compact. The deputy state librarian shall be deputy compact administrator pursuant to said article.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Compact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Compact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§185. COMPACT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