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161-B</w:t>
        <w:t xml:space="preserve">.  </w:t>
      </w:r>
      <w:r>
        <w:rPr>
          <w:b/>
        </w:rPr>
        <w:t xml:space="preserve">Local approval of bottle clubs</w:t>
      </w:r>
    </w:p>
    <w:p>
      <w:pPr>
        <w:jc w:val="both"/>
        <w:spacing w:before="100" w:after="0"/>
        <w:ind w:start="360"/>
        <w:ind w:firstLine="360"/>
      </w:pPr>
      <w:r>
        <w:rPr>
          <w:b/>
        </w:rPr>
        <w:t>1</w:t>
        <w:t xml:space="preserve">.  </w:t>
      </w:r>
      <w:r>
        <w:rPr>
          <w:b/>
        </w:rPr>
        <w:t xml:space="preserve">Application to local authorities.</w:t>
        <w:t xml:space="preserve"> </w:t>
      </w:r>
      <w:r>
        <w:t xml:space="preserve"> </w:t>
      </w:r>
      <w:r>
        <w:t xml:space="preserve">Prior to registration with the bureau under </w:t>
      </w:r>
      <w:r>
        <w:t>section 161</w:t>
      </w:r>
      <w:r>
        <w:t xml:space="preserve">, an owner or operator of a bottle club must apply to the municipal officers or, in the case of unincorporated places, the county commissioners of the county in which the unincorporated place is located, for permission to operate the bottle club or for transfer of location of an existing bottle club.  The bureau shall prepare and supply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2</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shall hold a public hearing for the consideration of applications for new bottle clubs and applications for transfer of location of existing bottle clubs.  The municipal officers or the county commissioners shall provide public notice of a hearing held under this section.  The notice, at the applicant's prepaid expense, must state the name and place of the hearing and must appear for at least 3 consecutive days before the date of the hearing in a daily newspaper having general circulation in the municipality or unincorporated place where the bottle club is located or for 2 consecutive weeks before the hearing date in a weekly newspaper having general circulation in the municipality or unincorporated place where the bottle club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3</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An application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B</w:t>
        <w:t xml:space="preserve">.  </w:t>
      </w:r>
      <w:r>
        <w:rPr/>
      </w:r>
      <w:r>
        <w:t xml:space="preserve">Noncompliance of the bottle club with any local zoning ordinance or other land use ordinance not related directly to liquor control;</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bottle club and caused by persons patronizing or employed by the bottle club or other such conditions that unreasonably disturb, interfere with or affect the ability of persons or businesses residing or located in the vicinity of the bottle club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D</w:t>
        <w:t xml:space="preserve">.  </w:t>
      </w:r>
      <w:r>
        <w:rPr/>
      </w:r>
      <w:r>
        <w:t xml:space="preserve">Repeated incidents of record of breaches of the peace, disorderly conduct, vandalism or other violations of law at or in the vicinity of the bottle club and caused by persons patronizing or employed by the bottle club;</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F</w:t>
        <w:t xml:space="preserve">.  </w:t>
      </w:r>
      <w:r>
        <w:rPr/>
      </w:r>
      <w:r>
        <w:t xml:space="preserve">In the case of corporate applicants, ineligibility or disqualification under </w:t>
      </w:r>
      <w:r>
        <w:t>section 601</w:t>
      </w:r>
      <w:r>
        <w:t xml:space="preserve"> of any officer, director or stockholder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G</w:t>
        <w:t xml:space="preserve">.  </w:t>
      </w:r>
      <w:r>
        <w:rPr/>
      </w:r>
      <w:r>
        <w:t xml:space="preserve">Location of the bottle club at any amusement area, beach or other area designed primarily for use by minors.</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4</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The bureau shall hold a public hearing in the city, town or unincorporated place where the premises are situated.  In acting on such an appeal, the bureau may consider all of the requirements referred to in </w:t>
      </w:r>
      <w:r>
        <w:t>subsection 3</w:t>
      </w:r>
      <w:r>
        <w:t xml:space="preserve">.</w:t>
      </w:r>
    </w:p>
    <w:p>
      <w:pPr>
        <w:jc w:val="both"/>
        <w:spacing w:before="100" w:after="0"/>
        <w:ind w:start="720"/>
      </w:pPr>
      <w:r>
        <w:rPr/>
        <w:t>A</w:t>
        <w:t xml:space="preserve">.  </w:t>
      </w:r>
      <w:r>
        <w:rPr/>
      </w:r>
      <w:r>
        <w:t xml:space="preserve">If the decision appealed is approval of the application, the bureau may reverse the decision if it was arbitrary or based on an erroneous finding.</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w:pPr>
        <w:jc w:val="both"/>
        <w:spacing w:before="100" w:after="0"/>
        <w:ind w:start="720"/>
      </w:pPr>
      <w:r>
        <w:rPr/>
        <w:t>B</w:t>
        <w:t xml:space="preserve">.  </w:t>
      </w:r>
      <w:r>
        <w:rPr/>
      </w:r>
      <w:r>
        <w:t xml:space="preserve">If the decision appealed is denial of the application, the bureau may reverse the decision and register the bottle club under </w:t>
      </w:r>
      <w:r>
        <w:t>section 161</w:t>
      </w:r>
      <w:r>
        <w:t xml:space="preserv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Any person or governmental entity aggrieved by a bureau decision under this section may appeal the decision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 PL 1995, c. 462, §D4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§161-B. Local approval of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§161-B. Local approval of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§161-B. LOCAL APPROVAL OF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