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Enforcement</w:t>
      </w:r>
    </w:p>
    <w:p>
      <w:pPr>
        <w:jc w:val="both"/>
        <w:spacing w:before="100" w:after="0"/>
        <w:ind w:start="360"/>
        <w:ind w:firstLine="360"/>
      </w:pPr>
      <w:r>
        <w:rPr>
          <w:b/>
        </w:rPr>
        <w:t>1</w:t>
        <w:t xml:space="preserve">.  </w:t>
      </w:r>
      <w:r>
        <w:rPr>
          <w:b/>
        </w:rPr>
        <w:t xml:space="preserve">Filing of a complaint.</w:t>
        <w:t xml:space="preserve"> </w:t>
      </w:r>
      <w:r>
        <w:t xml:space="preserve"> </w:t>
      </w:r>
      <w:r>
        <w:t xml:space="preserve">Any person may file a complaint with the commission specifying any alleged violation of this chapter.  The commission staff shall notify the party against whom the complaint has been filed and then may undertake the investigation of the alleged violation if directed by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(AMD).]</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may enforce the provisions of this chapter upon request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§26 (RPR).]</w:t>
      </w:r>
    </w:p>
    <w:p>
      <w:pPr>
        <w:jc w:val="both"/>
        <w:spacing w:before="100" w:after="0"/>
        <w:ind w:start="360"/>
        <w:ind w:firstLine="360"/>
      </w:pPr>
      <w:r>
        <w:rPr>
          <w:b/>
        </w:rPr>
        <w:t>3</w:t>
        <w:t xml:space="preserve">.  </w:t>
      </w:r>
      <w:r>
        <w:rPr>
          <w:b/>
        </w:rPr>
        <w:t xml:space="preserve">Use of subpoena.</w:t>
        <w:t xml:space="preserve"> </w:t>
      </w:r>
      <w:r>
        <w:t xml:space="preserve"> </w:t>
      </w:r>
      <w:r>
        <w:t xml:space="preserve">In the conduct of an investigation under </w:t>
      </w:r>
      <w:r>
        <w:t>section 321, subsection 8</w:t>
      </w:r>
      <w:r>
        <w:t xml:space="preserve">, the commission may subpoena witnesses and take evidence under oath.  The commission may also subpoena records when a lobbyist, employer or other person refuses to provide relevant records requested by the commission in the course of investigating a violation of the registration, reporting or other requirements in this chapter.  All subpoenas must be approved by the members of the commission and signed by the chair or the chair's designee.  Any record or information obtained by the commission in the course of an investigation that is covered by a privilege against discovery or use as evidence is not a public record unless the privilege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1993, c. 446, §A18 (RPR). PL 1993, c. 446, §B16 (AMD). PL 1993, c. 691, §26 (RPR). PL 2007, c. 630,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