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4451-D</w:t>
        <w:t xml:space="preserve">.  </w:t>
      </w:r>
      <w:r>
        <w:rPr>
          <w:b/>
        </w:rPr>
        <w:t xml:space="preserve">Further action</w:t>
      </w:r>
    </w:p>
    <w:p>
      <w:pPr>
        <w:jc w:val="both"/>
        <w:spacing w:before="100" w:after="100"/>
        <w:ind w:start="360"/>
        <w:ind w:firstLine="360"/>
      </w:pPr>
      <w:r>
        <w:rPr/>
      </w:r>
      <w:r>
        <w:rPr/>
      </w:r>
      <w:r>
        <w:t xml:space="preserve">The division director may proceed with any action the division director determines appropriate after the response time periods in </w:t>
      </w:r>
      <w:r>
        <w:t>section 4451‑C</w:t>
      </w:r>
      <w:r>
        <w:t xml:space="preserve"> have passed.  Further action may include, but is not limited to, the following:</w:t>
      </w:r>
      <w:r>
        <w:t xml:space="preserve">  </w:t>
      </w:r>
      <w:r xmlns:wp="http://schemas.openxmlformats.org/drawingml/2010/wordprocessingDrawing" xmlns:w15="http://schemas.microsoft.com/office/word/2012/wordml">
        <w:rPr>
          <w:rFonts w:ascii="Arial" w:hAnsi="Arial" w:cs="Arial"/>
          <w:sz w:val="22"/>
          <w:szCs w:val="22"/>
        </w:rPr>
        <w:t xml:space="preserve">[PL 2025, c. 684, §8 (NEW).]</w:t>
      </w:r>
    </w:p>
    <w:p>
      <w:pPr>
        <w:jc w:val="both"/>
        <w:spacing w:before="100" w:after="0"/>
        <w:ind w:start="360"/>
        <w:ind w:firstLine="360"/>
      </w:pPr>
      <w:r>
        <w:rPr>
          <w:b/>
        </w:rPr>
        <w:t>1</w:t>
        <w:t xml:space="preserve">.  </w:t>
      </w:r>
      <w:r>
        <w:rPr>
          <w:b/>
        </w:rPr>
        <w:t xml:space="preserve">Dismissal of complaint.</w:t>
        <w:t xml:space="preserve"> </w:t>
      </w:r>
      <w:r>
        <w:t xml:space="preserve"> </w:t>
      </w:r>
      <w:r>
        <w:t xml:space="preserve">If the certificate holder's response to the complaint or other information related to the complaint satisfies the division director, the committee or staff that the complaint does not merit further investigation or action, the matter may be dismissed by the division director or the committee, with notice of the dismissal to the certificate holder and the complainant, if any;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§8 (NEW).]</w:t>
      </w:r>
    </w:p>
    <w:p>
      <w:pPr>
        <w:jc w:val="both"/>
        <w:spacing w:before="100" w:after="0"/>
        <w:ind w:start="360"/>
        <w:ind w:firstLine="360"/>
      </w:pPr>
      <w:r>
        <w:rPr>
          <w:b/>
        </w:rPr>
        <w:t>2</w:t>
        <w:t xml:space="preserve">.  </w:t>
      </w:r>
      <w:r>
        <w:rPr>
          <w:b/>
        </w:rPr>
        <w:t xml:space="preserve">Referral.</w:t>
        <w:t xml:space="preserve"> </w:t>
      </w:r>
      <w:r>
        <w:t xml:space="preserve"> </w:t>
      </w:r>
      <w:r>
        <w:t xml:space="preserve">The division director may refer the matter of the complaint to another agency for investigation regardless of whether the division director receives a response under </w:t>
      </w:r>
      <w:r>
        <w:t>section 4451‑C</w:t>
      </w:r>
      <w:r>
        <w:t xml:space="preserve">, with notice of the referral to the certificate holder; 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§8 (NEW).]</w:t>
      </w:r>
    </w:p>
    <w:p>
      <w:pPr>
        <w:jc w:val="both"/>
        <w:spacing w:before="100" w:after="0"/>
        <w:ind w:start="360"/>
        <w:ind w:firstLine="360"/>
      </w:pPr>
      <w:r>
        <w:rPr>
          <w:b/>
        </w:rPr>
        <w:t>3</w:t>
        <w:t xml:space="preserve">.  </w:t>
      </w:r>
      <w:r>
        <w:rPr>
          <w:b/>
        </w:rPr>
        <w:t xml:space="preserve">Investigation.</w:t>
        <w:t xml:space="preserve"> </w:t>
      </w:r>
      <w:r>
        <w:t xml:space="preserve"> </w:t>
      </w:r>
      <w:r>
        <w:t xml:space="preserve">The division director at the division director's sole discretion or, as delegated, the committee or staff, may investigate a complaint that is not dismissed or referred under this section.  An investigation may include an informal conference under </w:t>
      </w:r>
      <w:r>
        <w:t>section 4451‑E</w:t>
      </w:r>
      <w:r>
        <w:t xml:space="preserve"> to determine whether grounds exist to deny an application for a certification or recertification or for modification, suspension or revocation of a certificate or for taking other disciplinary action pursuant to this section and </w:t>
      </w:r>
      <w:r>
        <w:t>section 4451‑G</w:t>
      </w:r>
      <w:r>
        <w:t xml:space="preserve">.  The division director or the committee may contract with outside investigators or agencies for use of their investigators through memoranda of understanding or other written agreement. The division director, the committee or staff may subpoena witnesses, records and documents in any investigation or hearing conducted.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§4451-D. Further action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§4451-D. Further action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§4451-D. FURTHER ACTION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