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4451-H</w:t>
        <w:t xml:space="preserve">.  </w:t>
      </w:r>
      <w:r>
        <w:rPr>
          <w:b/>
        </w:rPr>
        <w:t xml:space="preserve">Confidentiality; access to documents; public records</w:t>
      </w:r>
    </w:p>
    <w:p>
      <w:pPr>
        <w:jc w:val="both"/>
        <w:spacing w:before="100" w:after="100"/>
        <w:ind w:start="360"/>
        <w:ind w:firstLine="360"/>
      </w:pPr>
      <w:r>
        <w:rPr/>
      </w:r>
      <w:r>
        <w:rPr/>
      </w:r>
      <w:r>
        <w:t xml:space="preserve">All complaints, charges or accusations of misconduct, replies to those complaints, charges or accusations and any other information or materials that are considered by the division director or the committee are confidential. If a person subject to this chapter requests an adjudicatory hearing under the </w:t>
      </w:r>
      <w:r>
        <w:t>Maine Administrative Procedure Act</w:t>
      </w:r>
      <w:r>
        <w:t xml:space="preserve">, that hearing must be open to the public.  The subcommittee or hearing officer that presides over the hearing shall issue a written decision that states the conduct or other facts on the basis of which action is being taken and the reason for that action.  Once issued, the written decision is a public record under the </w:t>
      </w:r>
      <w:r>
        <w:t>Freedom of Access Act</w:t>
      </w:r>
      <w:r>
        <w:t xml:space="preserve">, regardless of whether it is appealed.  Any action taken by the division director pursuant to this subchapter as a result of a complaint, charge or accusation must be supported by a statement of findings and must be issued as a written decision of the division director.  The written decision of the division director and findings are public records under the </w:t>
      </w:r>
      <w:r>
        <w:t>Freedom of Access Act</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684, §12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§12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§4451-H. Confidentiality; access to documents; public records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§4451-H. Confidentiality; access to documents; public records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§4451-H. CONFIDENTIALITY; ACCESS TO DOCUMENTS; PUBLIC RECORDS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