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4451-I</w:t>
        <w:t xml:space="preserve">.  </w:t>
      </w:r>
      <w:r>
        <w:rPr>
          <w:b/>
        </w:rPr>
        <w:t xml:space="preserve">Rulemaking</w:t>
      </w:r>
    </w:p>
    <w:p>
      <w:pPr>
        <w:jc w:val="both"/>
        <w:spacing w:before="100" w:after="100"/>
        <w:ind w:start="360"/>
        <w:ind w:firstLine="360"/>
      </w:pPr>
      <w:r>
        <w:rPr/>
      </w:r>
      <w:r>
        <w:rPr/>
      </w:r>
      <w:r>
        <w:t xml:space="preserve">The Maine Office of Community Affairs may adopt rules necessary to implement this subchapter.  Rules adopted pursuant to this section are routine technical rules as defined in </w:t>
      </w:r>
      <w:r>
        <w:t>Title 5, 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684,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§13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§4451-I. Rulemaking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§4451-I. Rulemaking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§4451-I. RULEMAKING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