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4464</w:t>
        <w:t xml:space="preserve">.  </w:t>
      </w:r>
      <w:r>
        <w:rPr>
          <w:b/>
        </w:rPr>
        <w:t xml:space="preserve">Interlocal agreement</w:t>
      </w:r>
    </w:p>
    <w:p>
      <w:pPr>
        <w:jc w:val="both"/>
        <w:spacing w:before="100" w:after="100"/>
        <w:ind w:start="360"/>
        <w:ind w:firstLine="360"/>
      </w:pPr>
      <w:r>
        <w:rPr/>
      </w:r>
      <w:r>
        <w:rPr/>
      </w:r>
      <w:r>
        <w:t xml:space="preserve">In addition to the requirements of </w:t>
      </w:r>
      <w:r>
        <w:t>section 2203</w:t>
      </w:r>
      <w:r>
        <w:t xml:space="preserve">, the interlocal agreement must be consistent with rules adopted by the commissioner under the Maine Administrative Procedure Act, </w:t>
      </w:r>
      <w:r>
        <w:t>Title 5, chapter 375</w:t>
      </w:r>
      <w:r>
        <w:t xml:space="preserv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Minimum duration.</w:t>
        <w:t xml:space="preserve"> </w:t>
      </w:r>
      <w:r>
        <w:t xml:space="preserve"> </w:t>
      </w:r>
      <w:r>
        <w:t xml:space="preserve">The minimum duration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Members; appointment.</w:t>
        <w:t xml:space="preserve"> </w:t>
      </w:r>
      <w:r>
        <w:t xml:space="preserve"> </w:t>
      </w:r>
      <w:r>
        <w:t xml:space="preserve">How members may be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Municipal responsibilities for financing.</w:t>
        <w:t xml:space="preserve"> </w:t>
      </w:r>
      <w:r>
        <w:t xml:space="preserve"> </w:t>
      </w:r>
      <w:r>
        <w:t xml:space="preserve">What the municipalities' responsibilities for financing the commission 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Withdrawal.</w:t>
        <w:t xml:space="preserve"> </w:t>
      </w:r>
      <w:r>
        <w:t xml:space="preserve"> </w:t>
      </w:r>
      <w:r>
        <w:t xml:space="preserve">How and under what circumstances municipalities may withdraw from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§4464. Interlocal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§4464. Interlocal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§4464. INTERLOCAL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