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19502</w:t>
        <w:t xml:space="preserve">.  </w:t>
      </w:r>
      <w:r>
        <w:rPr>
          <w:b/>
        </w:rPr>
        <w:t xml:space="preserve">Corporate practice of optometry</w:t>
      </w:r>
    </w:p>
    <w:p>
      <w:pPr>
        <w:jc w:val="both"/>
        <w:spacing w:before="100" w:after="100"/>
        <w:ind w:start="360"/>
        <w:ind w:firstLine="360"/>
      </w:pPr>
      <w:r>
        <w:rPr/>
      </w:r>
      <w:r>
        <w:rPr/>
      </w:r>
      <w:r>
        <w:t xml:space="preserve">A licensed optometrist may not associate with an individual who is not a licensed optometrist or a copartnership, firm or corporation for the promotion of a commercial practice for profit or division of profit that enables the individual, copartnership, firm or corporation to engage, either directly or indirectly, in the practice of optometry in this State.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§19502. Corporate practice of optometry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§19502. Corporate practice of optometry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§19502. CORPORATE PRACTICE OF OPTOMETRY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