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20111</w:t>
        <w:t xml:space="preserve">.  </w:t>
      </w:r>
      <w:r>
        <w:rPr>
          <w:b/>
        </w:rPr>
        <w:t xml:space="preserve">Creation; declaration of policy</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The Maine Board of Medicine, as established in </w:t>
      </w:r>
      <w:r>
        <w:t>Title 5, section 12004‑A, subsection 24‑A</w:t>
      </w:r>
      <w:r>
        <w:t xml:space="preserve">, is created within this subchapter.  The board recognizes the unique philosophical and educational differences between allopathic physicians, osteopathic physicians and physician associates.  This subchapter is not intended to combine these into one profession.  The purpose of this subchapter is to protect the people of this State by efficiently setting licensing standards for the 3 separate professions with one licensing board.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§20111. Creation; declaration of policy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§20111. Creation; declaration of policy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§20111. CREATION; DECLARATION OF POLICY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