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20114</w:t>
        <w:t xml:space="preserve">.  </w:t>
      </w:r>
      <w:r>
        <w:rPr>
          <w:b/>
        </w:rPr>
        <w:t xml:space="preserve">Role of commissioner</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Commissioner of Professional and Financial Regulation shall act as a liaison between the board and the Governor.  The Commissioner of Professional and Financial Regulation does not have the authority to exercise or interfere with the exercise of discretionary, regulatory or licensing authority granted by statute to the board.  The Commissioner of Professional and Financial Regulation may require the board to be accessible to the public for complaints and questions during regular business hours and to provide any information the Commissioner of Professional and Financial Regulation requires in order to ensure that the board is operating administratively within the requirements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§20114. Role of commissioner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§20114. Role of commissioner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§20114. ROLE OF COMMISSIONER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