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20122</w:t>
        <w:t xml:space="preserve">.  </w:t>
      </w:r>
      <w:r>
        <w:rPr>
          <w:b/>
        </w:rPr>
        <w:t xml:space="preserve">Licensure or privilege required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Unlicensed practice.</w:t>
        <w:t xml:space="preserve"> </w:t>
      </w:r>
      <w:r>
        <w:t xml:space="preserve"> </w:t>
      </w:r>
      <w:r>
        <w:t xml:space="preserve">The following provisions apply.</w:t>
      </w:r>
    </w:p>
    <w:p>
      <w:pPr>
        <w:jc w:val="both"/>
        <w:spacing w:before="100" w:after="0"/>
        <w:ind w:start="720"/>
      </w:pPr>
      <w:r>
        <w:rPr/>
        <w:t>A</w:t>
        <w:t xml:space="preserve">.  </w:t>
      </w:r>
      <w:r>
        <w:rPr/>
      </w:r>
      <w:r>
        <w:t xml:space="preserve">Unless licensed or privileged by the board, an individual may not practice medicine or render medical services to any patient located in this State.  A person may not engage in the practice of medicine or render medical services without a license or during any period when that person's license is in inactive status, has expired or has been suspended, surrendered or revoked.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An individual who practices medicine, renders medical services or holds that individual out as doing so when the individual does not hold a valid, active license or privilege to do so may be subject to disciplinary action by the board or legal action by the Department of the Attorney General under </w:t>
      </w:r>
      <w:r>
        <w:t>Title 10, section 8003‑C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Penalties.</w:t>
        <w:t xml:space="preserve"> </w:t>
      </w:r>
      <w:r>
        <w:t xml:space="preserve"> </w:t>
      </w:r>
      <w:r>
        <w:t xml:space="preserve">An individual who violates this section commits a Class E crime.  Violation of this section is a strict liability crime as defined in </w:t>
      </w:r>
      <w:r>
        <w:t>Title 17‑A, section 34, subsection 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§20122. Licensure or privilege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§20122. Licensure or privilege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§20122. LICENSURE OR PRIVILEGE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