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20124</w:t>
        <w:t xml:space="preserve">.  </w:t>
      </w:r>
      <w:r>
        <w:rPr>
          <w:b/>
        </w:rPr>
        <w:t xml:space="preserve">Application; fees; general requirements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0"/>
        <w:ind w:start="360"/>
        <w:ind w:firstLine="360"/>
      </w:pPr>
      <w:r>
        <w:rPr>
          <w:b/>
        </w:rPr>
        <w:t>1</w:t>
        <w:t xml:space="preserve">.  </w:t>
      </w:r>
      <w:r>
        <w:rPr>
          <w:b/>
        </w:rPr>
        <w:t xml:space="preserve">Application.</w:t>
        <w:t xml:space="preserve"> </w:t>
      </w:r>
      <w:r>
        <w:t xml:space="preserve"> </w:t>
      </w:r>
      <w:r>
        <w:t xml:space="preserve">An applicant seeking a license from the board must submit an administratively complete application, licensure or application fee established by rule adopted by the board and any other materials required by the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Fees.</w:t>
        <w:t xml:space="preserve"> </w:t>
      </w:r>
      <w:r>
        <w:t xml:space="preserve"> </w:t>
      </w:r>
      <w:r>
        <w:t xml:space="preserve">All fees set forth in this chapter are nonrefundable application fees or administrative processing fees payable to the board at the time of application or at the time board action is requested.  The board shall establish by rule the fees for each license issued by the board.  The maximum fees for each license issued by the board are provided in this subchapter.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Confidentiality of personal contact and health information.</w:t>
        <w:t xml:space="preserve"> </w:t>
      </w:r>
      <w:r>
        <w:t xml:space="preserve"> </w:t>
      </w:r>
      <w:r>
        <w:t xml:space="preserve">A personal residence address, personal telephone number or personal e-mail address submitted to the board as part of an application, complaint or investigation under this chapter is confidential and may not be disclosed except as permitted under this section or as otherwise required by law unless the applicant who submitted the information has indicated that the applicant is willing to have the applicant's personal residence address, personal telephone number or personal e-mail address treated as a public record.  Personal health information submitted to the board as part of an application under this chapter is confidential and may not be disclosed except as otherwise permitted under this section or otherwise required by law.  The board and its staff may disclose personal health information about and the personal residence address, personal telephone number or personal e-mail address of a licensee or an applicant for a license under this chapter to a government licensing or disciplinary authority or to a health care provider located within or outside this State that is concerned with granting, limiting or denying a license or employment or privileges to the applicant or licensee.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4</w:t>
        <w:t xml:space="preserve">.  </w:t>
      </w:r>
      <w:r>
        <w:rPr>
          <w:b/>
        </w:rPr>
        <w:t xml:space="preserve">Public contact information required.</w:t>
        <w:t xml:space="preserve"> </w:t>
      </w:r>
      <w:r>
        <w:t xml:space="preserve"> </w:t>
      </w:r>
      <w:r>
        <w:t xml:space="preserve">An applicant or licensee shall provide the board with a current professional address and telephone number, which will be the applicant's or licensee's public contact address.  An applicant or licensee who does not have a public contact address and telephone number must use the applicant's or licensee's personal address and telephone number as the public contact information.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5</w:t>
        <w:t xml:space="preserve">.  </w:t>
      </w:r>
      <w:r>
        <w:rPr>
          <w:b/>
        </w:rPr>
        <w:t xml:space="preserve">Consent to physical or mental examination; objections to admissibility of examiner's testimony waived.</w:t>
        <w:t xml:space="preserve"> </w:t>
      </w:r>
      <w:r>
        <w:t xml:space="preserve"> </w:t>
      </w:r>
      <w:r>
        <w:t xml:space="preserve">For the purposes of this section, a physician or physician associate licensed or privileged by the board who accepts the privilege of practicing medicine or rendering medical services in this State by the filing of an application and of biennial license renewal:</w:t>
      </w:r>
    </w:p>
    <w:p>
      <w:pPr>
        <w:jc w:val="both"/>
        <w:spacing w:before="100" w:after="0"/>
        <w:ind w:start="720"/>
      </w:pPr>
      <w:r>
        <w:rPr/>
        <w:t>A</w:t>
        <w:t xml:space="preserve">.  </w:t>
      </w:r>
      <w:r>
        <w:rPr/>
      </w:r>
      <w:r>
        <w:t xml:space="preserve">Is deemed to have consented to a mental or physical examination by an individual or entity selected or approved by the board when directed in writing by the board or an investigative committee pursuant to </w:t>
      </w:r>
      <w:r>
        <w:t>section 20141</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Is deemed to have waived all objections to the admissibility of testimony based on the examination under </w:t>
      </w:r>
      <w:r>
        <w:t>paragraph A</w:t>
      </w:r>
      <w:r>
        <w:t xml:space="preserve"> or reports from that examination on the ground that these constitute a privileged communication.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360"/>
      </w:pPr>
      <w:r>
        <w:rPr/>
      </w:r>
      <w:r>
        <w:rPr/>
      </w:r>
      <w:r>
        <w:t xml:space="preserve">Pursuant to </w:t>
      </w:r>
      <w:r>
        <w:t>Title 4, section 184, subsection 6</w:t>
      </w:r>
      <w:r>
        <w:t xml:space="preserve">, the District Court shall immediately suspend the license of a physician or physician associate who can be shown, through the results of the medical or physical examination conducted under this section or through other competent evidence, to be unable to practice medicine or render medical services with reasonable skill and safety to patients by reason of mental illness, alcohol intemperance or excessive use of drugs or narcotics or as a result of a mental or physical condition interfering with the competent provision of medical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6</w:t>
        <w:t xml:space="preserve">.  </w:t>
      </w:r>
      <w:r>
        <w:rPr>
          <w:b/>
        </w:rPr>
        <w:t xml:space="preserve">License must be displayed.</w:t>
        <w:t xml:space="preserve"> </w:t>
      </w:r>
      <w:r>
        <w:t xml:space="preserve"> </w:t>
      </w:r>
      <w:r>
        <w:t xml:space="preserve">A physician or physician associate licensed under this chapter is entitled to receive a license under the seal of the board and signed by the chair and the secretary.  The license must be publicly displayed at the individual's principal place of practice as long as the individual continues the practice of medicine.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§20124. Application; fees; general requirements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§20124. Application; fees; general requirements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§20124. APPLICATION; FEES; GENERAL REQUIREMENTS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