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20126</w:t>
        <w:t xml:space="preserve">.  </w:t>
      </w:r>
      <w:r>
        <w:rPr>
          <w:b/>
        </w:rPr>
        <w:t xml:space="preserve">Physician associate criminal history record information; fees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an individual who submits an application for initial licensure or licensure by endorsement as a physician associate under this chapter.  The board shall request a background check for each licensed physician associate who applies for an initial compact privilege and designates this State as the applicant's participating state in accordance with </w:t>
      </w:r>
      <w:r>
        <w:t>chapter 145‑A</w:t>
      </w:r>
      <w:r>
        <w:t xml:space="preserve">.  The background check must include criminal history record information obtained from the Maine Criminal Justice Information System established in </w:t>
      </w:r>
      <w:r>
        <w:t>Title 16, section 631</w:t>
      </w:r>
      <w:r>
        <w:t xml:space="preserve">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An applicant or licensee shall submit to having fingerprints taken.  The Department of Public Safety, Bureau of State Police, upon payment by the applicant or licensee of a fee established by the board, shall take or cause to be taken the applicant's or licensee's fingerprints and shall forward the fingerprints to the Department of Public Safety, Bureau of State Police, State Bureau of Identification so that the State Bureau of Identification can conduct state and national criminal history record checks.  Except for the portion of the payment, if any, that constitutes the processing fee charged by the Federal Bureau of Investigation, all money received by the Bureau of State Police for purposes of this paragraph must be paid to the Treasurer of State.  The money must be applied to the expenses of administration incurred by the Department of Public Safety.  An individual who fails to transmit criminal fingerprint records to the State Bureau of Identification pursuant to this paragraph is subject to the provisions of </w:t>
      </w:r>
      <w:r>
        <w:t>Title 25, section 1550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State and federal criminal history record information of an applicant for a physician associate license may be used by the board for the purpose of screening the applicant.  State and federal criminal history record information of a licensed physician associate seeking an initial compact privilege may be used by the board for the purpose of taking disciplinary action against the licensee.  A board action against an applicant for licensure or a licensee under this subsection is subject to the provisions of </w:t>
      </w:r>
      <w:r>
        <w:t>Title 5, chapter 341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Physician Assistants Licensure Compact Commission established under </w:t>
      </w:r>
      <w:r>
        <w:t>section 18537</w:t>
      </w:r>
      <w:r>
        <w:t xml:space="preserve"> or to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An individual whose license has expired and who has not applied for renewal may request in writing that the Department of Public Safety, Bureau of State Police,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Department of Public Safety, Bureau of State Police, State Bureau of Identification, may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§20126. Physician associate criminal history record information;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§20126. Physician associate criminal history record information;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§20126. PHYSICIAN ASSOCIATE CRIMINAL HISTORY RECORD INFORMATION;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