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20132</w:t>
        <w:t xml:space="preserve">.  </w:t>
      </w:r>
      <w:r>
        <w:rPr>
          <w:b/>
        </w:rPr>
        <w:t xml:space="preserve">Withdrawal of license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 licensee who notifies the board in writing of the withdrawal of the individual's license is not required to pay licensure fees or penalties beyond those due at the time of the holder's withdrawal, but after a holder gives this notice, the holder's license to practice is not valid until reinstated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§20132. Withdrawal of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§20132. Withdrawal of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§20132. WITHDRAWAL OF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