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20133</w:t>
        <w:t xml:space="preserve">.  </w:t>
      </w:r>
      <w:r>
        <w:rPr>
          <w:b/>
        </w:rPr>
        <w:t xml:space="preserve">Inactive license status</w:t>
      </w:r>
    </w:p>
    <w:p>
      <w:pPr>
        <w:jc w:val="both"/>
        <w:spacing w:before="100" w:after="100"/>
        <w:ind w:start="1080" w:hanging="720"/>
      </w:pPr>
      <w:r>
        <w:rPr>
          <w:b/>
        </w:rPr>
        <w:t>(CONTAINS TEXT WITH VARYING EFFECTIVE DATES)</w:t>
      </w:r>
    </w:p>
    <w:p>
      <w:pPr>
        <w:jc w:val="both"/>
        <w:spacing w:before="100" w:after="100"/>
        <w:ind w:start="360"/>
      </w:pPr>
      <w:r>
        <w:rPr>
          <w:b/>
        </w:rPr>
        <w:t>(WHOLE SECTION TEXT EFFECTIVE 1/1/27)</w:t>
      </w:r>
    </w:p>
    <w:p>
      <w:pPr>
        <w:jc w:val="both"/>
        <w:spacing w:before="100" w:after="100"/>
        <w:ind w:start="360"/>
        <w:ind w:firstLine="360"/>
      </w:pPr>
      <w:r>
        <w:rPr/>
      </w:r>
      <w:r>
        <w:rPr/>
      </w:r>
      <w:r>
        <w:t xml:space="preserve">A licensee who wants to retain licensure while not practicing or rendering medical services may apply for an inactive status license.  During inactive status, the licensee must renew the license and pay the renewal fee set by rule.  Inactive status licensees may not engage in the clinical practice of medicine and may not engage in the clinical rendering of medical services.  Continuing medical education hours and the jurisprudence examination are not required for an inactive status licensee unless the inactive status licensee seeks reinstatement or conversion to active status.</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§20133. Inactive license status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§20133. Inactive license status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§20133. INACTIVE LICENSE STATUS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