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20142</w:t>
        <w:t xml:space="preserve">.  </w:t>
      </w:r>
      <w:r>
        <w:rPr>
          <w:b/>
        </w:rPr>
        <w:t xml:space="preserve">Complaints; reports; investigations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board, acting through an investigative committee of the board pursuant to </w:t>
      </w:r>
      <w:r>
        <w:t>section 20141</w:t>
      </w:r>
      <w:r>
        <w:t xml:space="preserve">, shall investigate a complaint, on its own motion or upon receipt of a written complaint filed with the board, regarding alleged noncompliance with or violation of this chapter or any rules adopted by the board.  The board shall notify the licensee of the content of a complaint filed against the licensee as soon as possible, but not later than 60 days after receipt of this information.  The licensee shall respond within 30 days.  The board shall share the licensee's response with the complainant, unless the board determines that it would be detrimental to the health of the complainant, the licensee or a patient related to the complaint to obtain the response or that the complainant is not legally entitled to the confidential medical information contained in the response.  Board staff shall ensure that the complaint is referred to one of the investigative committees described in </w:t>
      </w:r>
      <w:r>
        <w:t>section 20141</w:t>
      </w:r>
      <w:r>
        <w:t xml:space="preserve"> for review.  When a complaint has been filed against a licensee and the licensee moves or has moved to another state, the board may report to the appropriate licensing board in that state the complaint that has been filed, other complaints in the physician's record on which action was taken and disciplinary actions of the board with respect to that physician.  When an individual applies for a license under this chapter and any issue arises during the application review that may constitute grounds for discipline, the board, acting through the investigative committee, may investigate the professional or criminal record of that individual, including professional records that the individual may have as a licensee in other states.  The board may deny a license or authorize a restricted license based on the record of the applicant in other states or for any reason enumerated in this chapter that constitutes grounds for discipline.  When the board receives a report pursuant to </w:t>
      </w:r>
      <w:r>
        <w:t>Title 24, section 2505</w:t>
      </w:r>
      <w:r>
        <w:t xml:space="preserve"> or </w:t>
      </w:r>
      <w:r>
        <w:t>2506</w:t>
      </w:r>
      <w:r>
        <w:t xml:space="preserve"> regarding a licensee, board staff shall ensure that the report is referred to one of the investigative committees for review.  Following review, the investigative committee may close the matter without action, further investigate or open a complaint.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§20142. Complaints; reports; investigations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§20142. Complaints; reports; investigations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§20142. COMPLAINTS; REPORTS; INVESTIGATIONS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