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20156</w:t>
        <w:t xml:space="preserve">.  </w:t>
      </w:r>
      <w:r>
        <w:rPr>
          <w:b/>
        </w:rPr>
        <w:t xml:space="preserve">Treatment of minors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under this chapter who renders medical care to a minor for the prevention or treatment of a sexually transmitted infection or treatment of substance use disorder or for the collection of sexual assault evidence through a sexual assault forensic examination is under no obligation to obtain the consent of the minor's parent or guardian or to inform the parent or guardian of the prevention or treatment or collection.  This section may not be construed to prohibit the licensed individual rendering the prevention services or treatment or collection from informing the parent or guardian.  For purposes of this section, "substance use disorder" means the use of drugs or alcohol solely for their stimulant, depressant or hallucinogenic effect upon the higher functions of the central nervous system and not as a therapeutic agent recommended by a practitioner in the course of medical treatment.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§20156. Treatment of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§20156. Treatment of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§20156. TREATMENT OF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