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20160</w:t>
        <w:t xml:space="preserve">.  </w:t>
      </w:r>
      <w:r>
        <w:rPr>
          <w:b/>
        </w:rPr>
        <w:t xml:space="preserve">Issuance of prescription for ophthalmic lenses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licensed by the board may not issue a prescription for ophthalmic lenses, as defined in </w:t>
      </w:r>
      <w:r>
        <w:t>section 19101, subsection 19</w:t>
      </w:r>
      <w:r>
        <w:t xml:space="preserve">, solely in reliance on a measurement of the eye by a kiosk, as defined in </w:t>
      </w:r>
      <w:r>
        <w:t>section 19101, subsection 14</w:t>
      </w:r>
      <w:r>
        <w:t xml:space="preserve">, without conducting an eye examination, as defined in </w:t>
      </w:r>
      <w:r>
        <w:t>section 19101, subsection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§20160. Issuance of prescription for ophthalmic lenses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§20160. Issuance of prescription for ophthalmic lenses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§20160. ISSUANCE OF PRESCRIPTION FOR OPHTHALMIC LENSES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