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20161</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Limits on opioid medication prescribing.</w:t>
        <w:t xml:space="preserve"> </w:t>
      </w:r>
      <w:r>
        <w:t xml:space="preserve"> </w:t>
      </w:r>
      <w:r>
        <w:t xml:space="preserve">Except as provided in </w:t>
      </w:r>
      <w:r>
        <w:t>subsection 2</w:t>
      </w:r>
      <w:r>
        <w:t xml:space="preserve">, an individual licensed under this chapter or privileged under </w:t>
      </w:r>
      <w:r>
        <w:t>chapter 145‑A</w:t>
      </w:r>
      <w:r>
        <w:t xml:space="preserve"> and whose scope of practice includes prescribing opioid medication may not prescribe:</w:t>
      </w:r>
    </w:p>
    <w:p>
      <w:pPr>
        <w:jc w:val="both"/>
        <w:spacing w:before="100" w:after="0"/>
        <w:ind w:start="720"/>
      </w:pPr>
      <w:r>
        <w:rPr/>
        <w:t>A</w:t>
        <w:t xml:space="preserve">.  </w:t>
      </w:r>
      <w:r>
        <w:rPr/>
      </w:r>
      <w:r>
        <w:t xml:space="preserve">To a patient any combination of opioid medication in an aggregate amount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To a patient who, on the effective date of this section, has an active prescription for opioid medication in excess of 100 morphine milligram equivalents of an opioid medication per day, an opioid medication in an amount that would cause that patient's total amount of opioid medication to exceed 300 morphine milligram equivalents of opioid medication per day; except that, on or after July 1, 2017, the aggregate amount of opioid medication prescribed may not be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Within a 30-day period, more than a 30-day supply of an opioid medication to a patient under treatment for chronic pain.  For the purposes of this paragraph, "chronic pain" has the same meaning as in </w:t>
      </w:r>
      <w:r>
        <w:t>Title 22, section 7246, subsection 1‑C</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Within a 7-day period, more than a 7-day supply of an opioid medication to a patient under treatment for acute pain unless the opioid product is labeled by the federal Food and Drug Administration to be dispensed only in a stock bottle that exceeds a 7-day supply as prescribed, in which case the amount dispensed may not exceed a 14-day supply.  For the purposes of this paragraph, "acute pain" has the same meaning as in </w:t>
      </w:r>
      <w:r>
        <w:t>Title 22, section 7246, subsection 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Exceptions.</w:t>
        <w:t xml:space="preserve"> </w:t>
      </w:r>
      <w:r>
        <w:t xml:space="preserve"> </w:t>
      </w:r>
      <w:r>
        <w:t xml:space="preserve">An individual licensed under this chapter or privileged under </w:t>
      </w:r>
      <w:r>
        <w:t>chapter 145‑A</w:t>
      </w:r>
      <w:r>
        <w:t xml:space="preserve"> whose scope of practice includes prescribing opioid medication is exempt from the limits on opioid medication prescribing established in </w:t>
      </w:r>
      <w:r>
        <w:t>subsection 1</w:t>
      </w:r>
      <w:r>
        <w:t xml:space="preserve"> only:</w:t>
      </w:r>
    </w:p>
    <w:p>
      <w:pPr>
        <w:jc w:val="both"/>
        <w:spacing w:before="100" w:after="100"/>
        <w:ind w:start="720"/>
      </w:pPr>
      <w:r>
        <w:rPr/>
        <w:t>A</w:t>
        <w:t xml:space="preserve">.  </w:t>
      </w:r>
      <w:r>
        <w:rPr/>
      </w:r>
      <w:r>
        <w:t xml:space="preserve">When prescribing opioid medication to a patient for:</w:t>
      </w:r>
    </w:p>
    <w:p>
      <w:pPr>
        <w:jc w:val="both"/>
        <w:spacing w:before="100" w:after="100"/>
        <w:ind w:start="1080"/>
      </w:pPr>
      <w:r>
        <w:rPr/>
        <w:t>(</w:t>
        <w:t>1</w:t>
        <w:t xml:space="preserve">)  </w:t>
      </w:r>
      <w:r>
        <w:rPr/>
      </w:r>
      <w:r>
        <w:t xml:space="preserve">Pain associated with active and aftercare cancer treatment;</w:t>
      </w:r>
    </w:p>
    <w:p>
      <w:pPr>
        <w:jc w:val="both"/>
        <w:spacing w:before="100" w:after="100"/>
        <w:ind w:start="1080"/>
      </w:pPr>
      <w:r>
        <w:rPr/>
        <w:t>(</w:t>
        <w:t>2</w:t>
        <w:t xml:space="preserve">)  </w:t>
      </w:r>
      <w:r>
        <w:rPr/>
      </w:r>
      <w:r>
        <w:t xml:space="preserve">Palliative care, as defined in </w:t>
      </w:r>
      <w:r>
        <w:t>Title 22, section 1726, subsection 1, paragraph A</w:t>
      </w:r>
      <w:r>
        <w:t xml:space="preserve">, in conjunction with a serious illness, as defined in </w:t>
      </w:r>
      <w:r>
        <w:t>Title 22, section 1726, subsection 1, paragraph B</w:t>
      </w:r>
      <w:r>
        <w:t xml:space="preserve">;</w:t>
      </w:r>
    </w:p>
    <w:p>
      <w:pPr>
        <w:jc w:val="both"/>
        <w:spacing w:before="100" w:after="100"/>
        <w:ind w:start="1080"/>
      </w:pPr>
      <w:r>
        <w:rPr/>
        <w:t>(</w:t>
        <w:t>3</w:t>
        <w:t xml:space="preserve">)  </w:t>
      </w:r>
      <w:r>
        <w:rPr/>
      </w:r>
      <w:r>
        <w:t xml:space="preserve">End-of-life and hospice care; or</w:t>
      </w:r>
    </w:p>
    <w:p>
      <w:pPr>
        <w:jc w:val="both"/>
        <w:spacing w:before="100" w:after="100"/>
        <w:ind w:start="1080"/>
      </w:pPr>
      <w:r>
        <w:rPr/>
        <w:t>(</w:t>
        <w:t>4</w:t>
        <w:t xml:space="preserve">)  </w:t>
      </w:r>
      <w:r>
        <w:rPr/>
      </w:r>
      <w:r>
        <w:t xml:space="preserve">Medication-assisted treatment for substance use disorder;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720"/>
      </w:pPr>
      <w:r>
        <w:rPr/>
        <w:t>B</w:t>
        <w:t xml:space="preserve">.  </w:t>
      </w:r>
      <w:r>
        <w:rPr/>
      </w:r>
      <w:r>
        <w:t xml:space="preserve">When directly ordering or administering a benzodiazepine or opioid medication to an individual in an emergency room setting, an inpatient hospital setting, a long-term care facility or a residential care facility or in connection with a surgical procedure.  As used in this paragraph, "administer" has the same meaning as in </w:t>
      </w:r>
      <w:r>
        <w:t>Title 22, section 7246, subsection 1‑B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Electronic prescribing.</w:t>
        <w:t xml:space="preserve"> </w:t>
      </w:r>
      <w:r>
        <w:t xml:space="preserve"> </w:t>
      </w:r>
      <w:r>
        <w:t xml:space="preserve">An individual licensed under this chapter or privileged under </w:t>
      </w:r>
      <w:r>
        <w:t>chapter 145‑A</w:t>
      </w:r>
      <w:r>
        <w:t xml:space="preserve"> and whose scope of practice includes prescribing opioid medication with the capability to electronically prescribe shall prescribe all opioid medication electronically by July 1, 2017.  An individual who does not have the capability to electronically prescribe must request a waiver from this requirement from the Commissioner of Health and Human Services stating the reasons for the lack of capability, the availability of broadband infrastructure and a plan for developing the ability to electronically prescribe opioid medication.  The commissioner may grant a waiver including circumstances in which exceptions are appropriate, including prescribing outside of the individual's usual place of business and technological failures.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Continuing education.</w:t>
        <w:t xml:space="preserve"> </w:t>
      </w:r>
      <w:r>
        <w:t xml:space="preserve"> </w:t>
      </w:r>
      <w:r>
        <w:t xml:space="preserve">By December 31, 2017, an individual licensed under this chapter or privileged under </w:t>
      </w:r>
      <w:r>
        <w:t>chapter 145‑A</w:t>
      </w:r>
      <w:r>
        <w:t xml:space="preserve"> must successfully complete 3 hours of continuing education every 2 years on the prescription of opioid medication.  The board shall adopt rules to implement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Penalties.</w:t>
        <w:t xml:space="preserve"> </w:t>
      </w:r>
      <w:r>
        <w:t xml:space="preserve"> </w:t>
      </w:r>
      <w:r>
        <w:t xml:space="preserve">An individual who violates this section commits a civil violation for which a fine of $250 per violation, not to exceed $5,000 per calendar year, may be adjudged.  The Department of Health and Human Services is responsible for the enforcement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Opioid medication policy.</w:t>
        <w:t xml:space="preserve"> </w:t>
      </w:r>
      <w:r>
        <w:t xml:space="preserve"> </w:t>
      </w:r>
      <w:r>
        <w:t xml:space="preserve">No later than January 1, 2018, a health care entity that includes an individual licensed under this chapter or privileged under </w:t>
      </w:r>
      <w:r>
        <w:t>chapter 145‑A</w:t>
      </w:r>
      <w:r>
        <w:t xml:space="preserve"> whose scope of practice includes prescribing opioid medication must have in place an opioid medication prescribing policy that applies to all prescribers of opioid medications employed by the health care entity.  The policy must include, but is not limited to, procedures and practices related to risk assessment, informed consent and counseling on the risk of opioid use.  For the purposes of this subsection, "health care entity" has the same meaning as in </w:t>
      </w:r>
      <w:r>
        <w:t>Title 22, section 1718‑B, subsection 1,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§20161. Requirements regarding prescription of opioid medication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§20161. Requirements regarding prescription of opioid medication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§20161. REQUIREMENTS REGARDING PRESCRIPTION OF OPIOID MEDICATION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