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2596</w:t>
        <w:t xml:space="preserve">.  </w:t>
      </w:r>
      <w:r>
        <w:rPr>
          <w:b/>
        </w:rPr>
        <w:t xml:space="preserve">Review committee member immunity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physician licensed under this chapter who is a member of a utilization review committee or a peer review committee that is a requirement of accreditation by the American Osteopathic Association or is established and operated under the auspices of the physician's respective state or county professional society or the Board of Osteopathic Licensure is immune from civil liability for undertaking or failing to undertake an act within the scope of the function of the committee.</w:t>
      </w:r>
      <w:r>
        <w:t xml:space="preserve">  </w:t>
      </w:r>
      <w:r xmlns:wp="http://schemas.openxmlformats.org/drawingml/2010/wordprocessingDrawing" xmlns:w15="http://schemas.microsoft.com/office/word/2012/wordml">
        <w:rPr>
          <w:rFonts w:ascii="Arial" w:hAnsi="Arial" w:cs="Arial"/>
          <w:sz w:val="22"/>
          <w:szCs w:val="22"/>
        </w:rPr>
        <w:t xml:space="preserve">[PL 1993, c. 600, Pt. A, §189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1975, c. 83, §1 (RPR). PL 1987, c. 646, §9 (RPR). PL 1993, c. 600, §A189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§2596. Review committee member immunity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§2596. Review committee member immunity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§2596. REVIEW COMMITTEE MEMBER IMMUNITY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