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3264</w:t>
        <w:t xml:space="preserve">.  </w:t>
      </w:r>
      <w:r>
        <w:rPr>
          <w:b/>
        </w:rPr>
        <w:t xml:space="preserve">Oath</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Each member of the board shall, before entering upon the duties of the member's office, take the constitutional oath of office, and shall, in addition, make oath that the member is qualified under the terms of this chapter to hold the office.</w:t>
      </w:r>
      <w:r>
        <w:t xml:space="preserve">  </w:t>
      </w:r>
      <w:r xmlns:wp="http://schemas.openxmlformats.org/drawingml/2010/wordprocessingDrawing" xmlns:w15="http://schemas.microsoft.com/office/word/2012/wordml">
        <w:rPr>
          <w:rFonts w:ascii="Arial" w:hAnsi="Arial" w:cs="Arial"/>
          <w:sz w:val="22"/>
          <w:szCs w:val="22"/>
        </w:rPr>
        <w:t xml:space="preserve">[PL 1993, c. 600, Pt. A, §199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§A199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§3264. Oath</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§3264. Oath</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§3264. OATH</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