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3292</w:t>
        <w:t xml:space="preserve">.  </w:t>
      </w:r>
      <w:r>
        <w:rPr>
          <w:b/>
        </w:rPr>
        <w:t xml:space="preserve">Treatment of minors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An individual licensed under this chapter who renders medical care to a minor for the prevention or treatment of a sexually transmitted infection or treatment of substance use or for the collection of sexual assault evidence through a sexual assault forensic examination is under no obligation to obtain the consent of the minor's parent or guardian or to inform the parent or guardian of the prevention or treatment or collection.  This section may not be construed to prohibit the licensed individual rendering the prevention services or treatment or collection from informing the parent or guardian.  For purposes of this section, "substance use" means the use of drugs or alcohol solely for their stimulant, depressant or hallucinogenic effect upon the higher functions of the central nervous system and not as a therapeutic agent recommended by a practitioner in the course of medical treatment.</w:t>
      </w:r>
      <w:r>
        <w:t xml:space="preserve">  </w:t>
      </w:r>
      <w:r xmlns:wp="http://schemas.openxmlformats.org/drawingml/2010/wordprocessingDrawing" xmlns:w15="http://schemas.microsoft.com/office/word/2012/wordml">
        <w:rPr>
          <w:rFonts w:ascii="Arial" w:hAnsi="Arial" w:cs="Arial"/>
          <w:sz w:val="22"/>
          <w:szCs w:val="22"/>
        </w:rPr>
        <w:t xml:space="preserve">[PL 2019, c. 236, §11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1973, c. 145, §3 (RPR). PL 1979, c. 96, §3 (AMD). PL 1993, c. 600, §A221 (AMD). PL 1999, c. 90, §4 (AMD). PL 2017, c. 407, Pt. A, §128 (AMD). PL 2019, c. 236, §11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§3292. Treatment of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§3292. Treatment of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§3292. TREATMENT OF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