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85-D</w:t>
        <w:t xml:space="preserve">.  </w:t>
      </w:r>
      <w:r>
        <w:rPr>
          <w:b/>
        </w:rPr>
        <w:t xml:space="preserve">Community paramedicine services</w:t>
      </w:r>
    </w:p>
    <w:p>
      <w:pPr>
        <w:jc w:val="both"/>
        <w:spacing w:before="100" w:after="0"/>
        <w:ind w:start="360"/>
        <w:ind w:firstLine="360"/>
      </w:pPr>
      <w:r>
        <w:rPr>
          <w:b/>
        </w:rPr>
        <w:t>1</w:t>
        <w:t xml:space="preserve">.  </w:t>
      </w:r>
      <w:r>
        <w:rPr>
          <w:b/>
        </w:rPr>
        <w:t xml:space="preserve">License required.</w:t>
        <w:t xml:space="preserve"> </w:t>
      </w:r>
      <w:r>
        <w:t xml:space="preserve"> </w:t>
      </w:r>
      <w:r>
        <w:t xml:space="preserve">A community paramedicine service must be licensed and must operate in accordance with rules and protocols adopted for services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635, §10 (NEW).]</w:t>
      </w:r>
    </w:p>
    <w:p>
      <w:pPr>
        <w:jc w:val="both"/>
        <w:spacing w:before="100" w:after="100"/>
        <w:ind w:start="360"/>
        <w:ind w:firstLine="360"/>
      </w:pPr>
      <w:r>
        <w:rPr>
          <w:b/>
        </w:rPr>
        <w:t>2</w:t>
        <w:t xml:space="preserve">.  </w:t>
      </w:r>
      <w:r>
        <w:rPr>
          <w:b/>
        </w:rPr>
        <w:t xml:space="preserve">Mandatory qualifications.</w:t>
        <w:t xml:space="preserve"> </w:t>
      </w:r>
      <w:r>
        <w:t xml:space="preserve"> </w:t>
      </w:r>
      <w:r>
        <w:t xml:space="preserve">The board shall adopt rules governing the qualifications for and standards to be observed by community paramedicine services, including:</w:t>
      </w:r>
    </w:p>
    <w:p>
      <w:pPr>
        <w:jc w:val="both"/>
        <w:spacing w:before="100" w:after="0"/>
        <w:ind w:start="720"/>
      </w:pPr>
      <w:r>
        <w:rPr/>
        <w:t>A</w:t>
        <w:t xml:space="preserve">.  </w:t>
      </w:r>
      <w:r>
        <w:rPr/>
      </w:r>
      <w:r>
        <w:t xml:space="preserve">The identification of a primary care medical director with whom the community paramedicine service works;</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w:pPr>
        <w:jc w:val="both"/>
        <w:spacing w:before="100" w:after="0"/>
        <w:ind w:start="720"/>
      </w:pPr>
      <w:r>
        <w:rPr/>
        <w:t>B</w:t>
        <w:t xml:space="preserve">.  </w:t>
      </w:r>
      <w:r>
        <w:rPr/>
      </w:r>
      <w:r>
        <w:t xml:space="preserve">The identification of an emergency medical services medical director;</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w:pPr>
        <w:jc w:val="both"/>
        <w:spacing w:before="100" w:after="0"/>
        <w:ind w:start="720"/>
      </w:pPr>
      <w:r>
        <w:rPr/>
        <w:t>C</w:t>
        <w:t xml:space="preserve">.  </w:t>
      </w:r>
      <w:r>
        <w:rPr/>
      </w:r>
      <w:r>
        <w:t xml:space="preserve">The qualifications for a primary care medical director or emergency medical services medical director identified under </w:t>
      </w:r>
      <w:r>
        <w:t>paragraph A</w:t>
      </w:r>
      <w:r>
        <w:t xml:space="preserve"> or </w:t>
      </w:r>
      <w:r>
        <w:t>B</w:t>
      </w:r>
      <w:r>
        <w:t xml:space="preserve">, except that the board may not restrict eligibility to only licensed physicians and shall permit eligibility for an individual serving as a volunteer or serving in a dual capacity as a community paramedicine service's primary care medical director and emergency medical services medical director;</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w:pPr>
        <w:jc w:val="both"/>
        <w:spacing w:before="100" w:after="0"/>
        <w:ind w:start="720"/>
      </w:pPr>
      <w:r>
        <w:rPr/>
        <w:t>D</w:t>
        <w:t xml:space="preserve">.  </w:t>
      </w:r>
      <w:r>
        <w:rPr/>
      </w:r>
      <w:r>
        <w:t xml:space="preserve">Compliance with the </w:t>
      </w:r>
      <w:r>
        <w:t>Maine Background Check Center Act</w:t>
      </w:r>
      <w:r>
        <w:t xml:space="preserve"> requirements as described in </w:t>
      </w:r>
      <w:r>
        <w:t>Title 22, section 1691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w:pPr>
        <w:jc w:val="both"/>
        <w:spacing w:before="100" w:after="0"/>
        <w:ind w:start="720"/>
      </w:pPr>
      <w:r>
        <w:rPr/>
        <w:t>E</w:t>
        <w:t xml:space="preserve">.  </w:t>
      </w:r>
      <w:r>
        <w:rPr/>
      </w:r>
      <w:r>
        <w:t xml:space="preserve">Conducting initial and ongoing training of all staff regarding their obligations as mandatory reporters; and</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w:pPr>
        <w:jc w:val="both"/>
        <w:spacing w:before="100" w:after="0"/>
        <w:ind w:start="720"/>
      </w:pPr>
      <w:r>
        <w:rPr/>
        <w:t>F</w:t>
        <w:t xml:space="preserve">.  </w:t>
      </w:r>
      <w:r>
        <w:rPr/>
      </w:r>
      <w:r>
        <w:t xml:space="preserve">Meeting licensing standards that address the following areas:</w:t>
      </w:r>
    </w:p>
    <w:p>
      <w:pPr>
        <w:jc w:val="both"/>
        <w:spacing w:before="100" w:after="0"/>
        <w:ind w:start="1080"/>
      </w:pPr>
      <w:r>
        <w:rPr/>
        <w:t>(</w:t>
        <w:t>1</w:t>
        <w:t xml:space="preserve">)  </w:t>
      </w:r>
      <w:r>
        <w:rPr/>
      </w:r>
      <w:r>
        <w:t xml:space="preserve">General requirements;</w:t>
      </w:r>
    </w:p>
    <w:p>
      <w:pPr>
        <w:jc w:val="both"/>
        <w:spacing w:before="100" w:after="0"/>
        <w:ind w:start="1080"/>
      </w:pPr>
      <w:r>
        <w:rPr/>
        <w:t>(</w:t>
        <w:t>2</w:t>
        <w:t xml:space="preserve">)  </w:t>
      </w:r>
      <w:r>
        <w:rPr/>
      </w:r>
      <w:r>
        <w:t xml:space="preserve">Qualifications for professional personnel;</w:t>
      </w:r>
    </w:p>
    <w:p>
      <w:pPr>
        <w:jc w:val="both"/>
        <w:spacing w:before="100" w:after="0"/>
        <w:ind w:start="1080"/>
      </w:pPr>
      <w:r>
        <w:rPr/>
        <w:t>(</w:t>
        <w:t>3</w:t>
        <w:t xml:space="preserve">)  </w:t>
      </w:r>
      <w:r>
        <w:rPr/>
      </w:r>
      <w:r>
        <w:t xml:space="preserve">Qualifications for paraprofessional personnel;</w:t>
      </w:r>
    </w:p>
    <w:p>
      <w:pPr>
        <w:jc w:val="both"/>
        <w:spacing w:before="100" w:after="0"/>
        <w:ind w:start="1080"/>
      </w:pPr>
      <w:r>
        <w:rPr/>
        <w:t>(</w:t>
        <w:t>4</w:t>
        <w:t xml:space="preserve">)  </w:t>
      </w:r>
      <w:r>
        <w:rPr/>
      </w:r>
      <w:r>
        <w:t xml:space="preserve">Treatment and services and their coordination;</w:t>
      </w:r>
    </w:p>
    <w:p>
      <w:pPr>
        <w:jc w:val="both"/>
        <w:spacing w:before="100" w:after="0"/>
        <w:ind w:start="1080"/>
      </w:pPr>
      <w:r>
        <w:rPr/>
        <w:t>(</w:t>
        <w:t>5</w:t>
        <w:t xml:space="preserve">)  </w:t>
      </w:r>
      <w:r>
        <w:rPr/>
      </w:r>
      <w:r>
        <w:t xml:space="preserve">Organizational structure, including lines of authority;</w:t>
      </w:r>
    </w:p>
    <w:p>
      <w:pPr>
        <w:jc w:val="both"/>
        <w:spacing w:before="100" w:after="0"/>
        <w:ind w:start="1080"/>
      </w:pPr>
      <w:r>
        <w:rPr/>
        <w:t>(</w:t>
        <w:t>6</w:t>
        <w:t xml:space="preserve">)  </w:t>
      </w:r>
      <w:r>
        <w:rPr/>
      </w:r>
      <w:r>
        <w:t xml:space="preserve">Treatment records;</w:t>
      </w:r>
    </w:p>
    <w:p>
      <w:pPr>
        <w:jc w:val="both"/>
        <w:spacing w:before="100" w:after="0"/>
        <w:ind w:start="1080"/>
      </w:pPr>
      <w:r>
        <w:rPr/>
        <w:t>(</w:t>
        <w:t>7</w:t>
        <w:t xml:space="preserve">)  </w:t>
      </w:r>
      <w:r>
        <w:rPr/>
      </w:r>
      <w:r>
        <w:t xml:space="preserve">Business records; and</w:t>
      </w:r>
    </w:p>
    <w:p>
      <w:pPr>
        <w:jc w:val="both"/>
        <w:spacing w:before="100" w:after="0"/>
        <w:ind w:start="1080"/>
      </w:pPr>
      <w:r>
        <w:rPr/>
        <w:t>(</w:t>
        <w:t>8</w:t>
        <w:t xml:space="preserve">)  </w:t>
      </w:r>
      <w:r>
        <w:rPr/>
      </w:r>
      <w:r>
        <w:t xml:space="preserve">Other aspects of community paramedicine that may be necessary to protect the public.</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635, §10 (NEW).]</w:t>
      </w:r>
    </w:p>
    <w:p>
      <w:pPr>
        <w:jc w:val="both"/>
        <w:spacing w:before="100" w:after="100"/>
        <w:ind w:start="360"/>
        <w:ind w:firstLine="360"/>
      </w:pPr>
      <w:r>
        <w:rPr/>
      </w:r>
      <w:r>
        <w:rPr/>
      </w:r>
      <w:r>
        <w:t xml:space="preserve">Initial rules adopted pursuant to this section are major substantive rules and any subsequent amendments to rules adopted pursuant to this section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635,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635, §10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§85-D. Community paramedicine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§85-D. Community paramedicine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§85-D. COMMUNITY PARAMEDICINE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