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11303</w:t>
        <w:t xml:space="preserve">.  </w:t>
      </w:r>
      <w:r>
        <w:rPr>
          <w:b/>
        </w:rPr>
        <w:t xml:space="preserve">Mandatory notification of conditional release or discharge of registrants</w:t>
      </w:r>
    </w:p>
    <w:p>
      <w:pPr>
        <w:jc w:val="both"/>
        <w:spacing w:before="100" w:after="100"/>
        <w:ind w:start="360"/>
        <w:ind w:firstLine="360"/>
      </w:pPr>
      <w:r>
        <w:rPr/>
      </w:r>
      <w:r>
        <w:rPr/>
      </w:r>
      <w:r>
        <w:t xml:space="preserve">The department, county jails, state mental health institutes and the bureau are governed by the following notice provisions when a registrant is conditionally released or discharged.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a county jail or a state mental health institute shall give the bureau notice of the following:</w:t>
      </w:r>
    </w:p>
    <w:p>
      <w:pPr>
        <w:jc w:val="both"/>
        <w:spacing w:before="100" w:after="0"/>
        <w:ind w:start="720"/>
      </w:pPr>
      <w:r>
        <w:rPr/>
        <w:t>A</w:t>
        <w:t xml:space="preserve">.  </w:t>
      </w:r>
      <w:r>
        <w:rPr/>
      </w:r>
      <w:r>
        <w:t xml:space="preserve">The address where the registrant will be domiciled and reside;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address where the registrant will work and attend college or school, if applicable;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mailing address of the registrant;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The geographic area to which a registrant's conditional release is limited, if any.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Duties of the bureau.</w:t>
        <w:t xml:space="preserve"> </w:t>
      </w:r>
      <w:r>
        <w:t xml:space="preserve"> </w:t>
      </w:r>
      <w:r>
        <w:t xml:space="preserve">Upon receipt of the information concerning the conditional release or discharge of a registrant pursuant to </w:t>
      </w:r>
      <w:r>
        <w:t>subsection 1</w:t>
      </w:r>
      <w:r>
        <w:t xml:space="preserve">, the bureau shall forward the information to all law enforcement agencies that have jurisdiction in those areas where the registrant may be domiciled, reside, work or attend college or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§11303. Mandatory notification of conditional release or discharge of registrants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§11303. Mandatory notification of conditional release or discharge of registrants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§11303. MANDATORY NOTIFICATION OF CONDITIONAL RELEASE OR DISCHARGE OF REGISTRANTS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