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Purpose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7, c. 752, §41 (AMD). PL 1999, c. 401, §J6 (AMD). PL 1999, c. 583, §§39-41 (AMD). PL 1999, c. 624, §§B25,26 (AMD). PL 2001, c. 439, §G8 (AMD). PL 2003, c. 410, §18 (AMD). PL 2003, c. 545, §6 (REV). PL 2005, c. 32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0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