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9874</w:t>
        <w:t xml:space="preserve">.  </w:t>
      </w:r>
      <w:r>
        <w:rPr>
          <w:b/>
        </w:rPr>
        <w:t xml:space="preserve">State council--Article 4</w:t>
      </w:r>
    </w:p>
    <w:p>
      <w:pPr>
        <w:jc w:val="both"/>
        <w:spacing w:before="100" w:after="100"/>
        <w:ind w:start="360"/>
        <w:ind w:firstLine="360"/>
      </w:pPr>
      <w:r>
        <w:rPr/>
      </w:r>
      <w:r>
        <w:rPr/>
      </w:r>
      <w:r>
        <w:t xml:space="preserve">Each member state shall create a State Council for Interstate Adult Offender Supervision that is responsible for the appointment of the commissioner who serves on the interstate commission from that state.  Each state council shall appoint as its commissioner the compact administrator from that state to serve on the interstate commission in such capacity under or pursuant to applicable law of the member state.  While each member state may determine the membership of its own state council, its membership must include at least one representative from the legislative, judicial and executive branches of government; victims groups; and the compact administrator.  Each compacting state retains the right to determine the qualifications of the compact administrator who must be appointed by the state council or by the governor in consultation with the legislature and the judiciary.  In addition to appointment of its commissioner to the interstate commission, each state council shall exercise oversight and advocacy concerning its participation in interstate commission activities and other duties as may be determined by each member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§9874. State council--Article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§9874. State council--Article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§9874. STATE COUNCIL--ARTICLE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