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675, §9)</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severity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0"/>
        <w:ind w:start="360"/>
        <w:ind w:firstLine="360"/>
      </w:pPr>
      <w:r>
        <w:rPr>
          <w:b/>
        </w:rPr>
        <w:t>2</w:t>
        <w:t xml:space="preserve">.  </w:t>
      </w:r>
      <w:r>
        <w:rPr>
          <w:b/>
        </w:rPr>
        <w:t xml:space="preserve">Department to develop plan and serve as coordinator.</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100"/>
        <w:ind w:start="360"/>
        <w:ind w:firstLine="360"/>
      </w:pPr>
      <w:r>
        <w:rPr>
          <w:b/>
        </w:rPr>
        <w:t>3</w:t>
        <w:t xml:space="preserve">.  </w:t>
      </w:r>
      <w:r>
        <w:rPr>
          <w:b/>
        </w:rPr>
        <w:t xml:space="preserve">Guidelines.</w:t>
        <w:t xml:space="preserve"> </w:t>
      </w:r>
      <w:r>
        <w:t xml:space="preserve"> </w:t>
      </w:r>
      <w:r>
        <w:t xml:space="preserve">In carrying out its duties under </w:t>
      </w:r>
      <w:r>
        <w:t>subsection 2</w:t>
      </w:r>
      <w:r>
        <w:t xml:space="preserve">, 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§3613. CRISIS RECEIVING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