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§3912. Veterans Mental Health Case Management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Veterans Mental Health Case Management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§3912. VETERANS MENTAL HEALTH CASE MANAGEMENT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