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ABATEMENT</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State tax assessor may make abatement of taxes and supplemental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98 (NEW). PL 1979, c. 3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