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5219-CCC</w:t>
        <w:t xml:space="preserve">.  </w:t>
      </w:r>
      <w:r>
        <w:rPr>
          <w:b/>
        </w:rPr>
        <w:t xml:space="preserve">Credit for pass-through entity tax paid</w:t>
      </w:r>
    </w:p>
    <w:p>
      <w:pPr>
        <w:jc w:val="both"/>
        <w:spacing w:before="100" w:after="100"/>
        <w:ind w:start="360"/>
        <w:ind w:firstLine="360"/>
      </w:pPr>
      <w:r>
        <w:rPr/>
      </w:r>
      <w:r>
        <w:rPr/>
      </w:r>
      <w:r>
        <w:t xml:space="preserve">A qualified member, as defined in </w:t>
      </w:r>
      <w:r>
        <w:t>section 5199‑A, subsection 9</w:t>
      </w:r>
      <w:r>
        <w:t xml:space="preserve">, is allowed a credit against the tax imposed by this Part equal to 90% of the amount of the tax required to be reported to the qualified member for the taxable year by an electing pass-through entity, as defined in </w:t>
      </w:r>
      <w:r>
        <w:t>section 5199‑A, subsection 4</w:t>
      </w:r>
      <w:r>
        <w:t xml:space="preserve">, in accordance with </w:t>
      </w:r>
      <w:r>
        <w:t>section 5199‑G</w:t>
      </w:r>
      <w:r>
        <w:t xml:space="preserve">. The credit authorized by this section is refundable. A credit is not allowed under this section unless the electing pass-through entity paid the tax imposed under </w:t>
      </w:r>
      <w:r>
        <w:t>chapter 815, subchapter 3</w:t>
      </w:r>
      <w:r>
        <w:t xml:space="preserve"> and provided sufficient information on the pass-through entity tax return as prescribed by the assessor to identify that qualified member and the qualified member's distributive share of the tax paid by the electing pass-through entity. The provisions of </w:t>
      </w:r>
      <w:r>
        <w:t>section 5219‑G, subsection 2</w:t>
      </w:r>
      <w:r>
        <w:t xml:space="preserve"> may not be applied to the credit allowed under this section.</w:t>
      </w:r>
      <w:r>
        <w:t xml:space="preserve">  </w:t>
      </w:r>
      <w:r xmlns:wp="http://schemas.openxmlformats.org/drawingml/2010/wordprocessingDrawing" xmlns:w15="http://schemas.microsoft.com/office/word/2012/wordml">
        <w:rPr>
          <w:rFonts w:ascii="Arial" w:hAnsi="Arial" w:cs="Arial"/>
          <w:sz w:val="22"/>
          <w:szCs w:val="22"/>
        </w:rPr>
        <w:t xml:space="preserve">[PL 2025, c. 650, Pt. N, §5 (NEW); PL 2025, c. 650, Pt. N, §8 (AFF).]</w:t>
      </w:r>
    </w:p>
    <w:p>
      <w:pPr>
        <w:jc w:val="both"/>
        <w:spacing w:before="100" w:after="100"/>
        <w:ind w:start="360"/>
      </w:pPr>
      <w:r>
        <w:rPr>
          <w:b w:val="true"/>
          <w:i/>
          <w:caps w:val="true"/>
        </w:rPr>
        <w:t xml:space="preserve">Revisor's Note: </w:t>
      </w:r>
      <w:r>
        <w:t>§5219-CCC.  Dental care access credit (As enacted by PL 2025, c. 713, §1 is REALLOCATED TO TITLE 36, SECTION 5219-DDD)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§5 (NEW). PL 2025, c. 650, Pt. N, §8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§5219-CCC. Credit for pass-through entity tax paid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§5219-CCC. Credit for pass-through entity tax paid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§5219-CCC. CREDIT FOR PASS-THROUGH ENTITY TAX PAID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