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Jurisdiction</w:t>
      </w:r>
    </w:p>
    <w:p>
      <w:pPr>
        <w:jc w:val="both"/>
        <w:spacing w:before="100" w:after="100"/>
        <w:ind w:start="360"/>
        <w:ind w:firstLine="360"/>
      </w:pPr>
      <w:r>
        <w:rPr/>
      </w:r>
      <w:r>
        <w:rPr/>
      </w:r>
      <w:r>
        <w:t xml:space="preserve">The jurisdiction of a court-martial is limited to trial of persons subject to this Code who are accused of military offenses described in this Code. Persons subject to this Code who are accused of offenses cognizable by the civil courts of this State or any other state where the military forces are present may, upon accusation of a civil offense, be surrendered promptly to civil authorities for disposition if the mission of the military force will not be compromised.  If the person subject to this Code is accused of both a military offense under this Code and a criminal offense by the civil authorities, that member may be prosecuted by either or both authorities and if found guilty, appropriately punished by either or both authorities.</w:t>
      </w:r>
      <w:r>
        <w:t xml:space="preserve">  </w:t>
      </w:r>
      <w:r xmlns:wp="http://schemas.openxmlformats.org/drawingml/2010/wordprocessingDrawing" xmlns:w15="http://schemas.microsoft.com/office/word/2012/wordml">
        <w:rPr>
          <w:rFonts w:ascii="Arial" w:hAnsi="Arial" w:cs="Arial"/>
          <w:sz w:val="22"/>
          <w:szCs w:val="22"/>
        </w:rPr>
        <w:t xml:space="preserve">[PL 2001, c. 662,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§26 (AMD). PL 2001, c. 662,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§418.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§418.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