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513-B</w:t>
        <w:t xml:space="preserve">.  </w:t>
      </w:r>
      <w:r>
        <w:rPr>
          <w:b/>
        </w:rPr>
        <w:t xml:space="preserve">Veterans' Housing Provider Incentive Program; establishment; report</w:t>
      </w:r>
    </w:p>
    <w:p>
      <w:pPr>
        <w:jc w:val="both"/>
        <w:spacing w:before="100" w:after="100"/>
        <w:ind w:start="360"/>
        <w:ind w:firstLine="360"/>
      </w:pPr>
      <w:r>
        <w:rPr/>
      </w:r>
      <w:r>
        <w:rPr/>
      </w:r>
      <w:r>
        <w:t xml:space="preserve">The Veterans' Housing Provider Incentive Program is established to provide grants to organizations to support permanent housing for veteran populations.</w:t>
      </w:r>
      <w:r>
        <w:t xml:space="preserve">  </w:t>
      </w:r>
      <w:r xmlns:wp="http://schemas.openxmlformats.org/drawingml/2010/wordprocessingDrawing" xmlns:w15="http://schemas.microsoft.com/office/word/2012/wordml">
        <w:rPr>
          <w:rFonts w:ascii="Arial" w:hAnsi="Arial" w:cs="Arial"/>
          <w:sz w:val="22"/>
          <w:szCs w:val="22"/>
        </w:rPr>
        <w:t xml:space="preserve">[PL 2025, c. 636, §1 (NEW).]</w:t>
      </w:r>
    </w:p>
    <w:p>
      <w:pPr>
        <w:jc w:val="both"/>
        <w:spacing w:before="100" w:after="0"/>
        <w:ind w:start="360"/>
        <w:ind w:firstLine="360"/>
      </w:pPr>
      <w:r>
        <w:rPr>
          <w:b/>
        </w:rPr>
        <w:t>1</w:t>
        <w:t xml:space="preserve">.  </w:t>
      </w:r>
      <w:r>
        <w:rPr>
          <w:b/>
        </w:rPr>
        <w:t xml:space="preserve">Fund established.</w:t>
        <w:t xml:space="preserve"> </w:t>
      </w:r>
      <w:r>
        <w:t xml:space="preserve"> </w:t>
      </w:r>
      <w:r>
        <w:t xml:space="preserve">The Veterans' Housing Provider Incentive Fund, referred to in this section as "the fund," is established under the bureau for the purpose of receiving funds from state, federal and other sources, including donations from private citizens, corporations and entities for the purposes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636, §1 (NEW).]</w:t>
      </w:r>
    </w:p>
    <w:p>
      <w:pPr>
        <w:jc w:val="both"/>
        <w:spacing w:before="100" w:after="0"/>
        <w:ind w:start="360"/>
        <w:ind w:firstLine="360"/>
      </w:pPr>
      <w:r>
        <w:rPr>
          <w:b/>
        </w:rPr>
        <w:t>2</w:t>
        <w:t xml:space="preserve">.  </w:t>
      </w:r>
      <w:r>
        <w:rPr>
          <w:b/>
        </w:rPr>
        <w:t xml:space="preserve">Grants to support permanent housing.</w:t>
        <w:t xml:space="preserve"> </w:t>
      </w:r>
      <w:r>
        <w:t xml:space="preserve"> </w:t>
      </w:r>
      <w:r>
        <w:t xml:space="preserve">The bureau shall use the fund to award grants to organizations that have been determined by the United States Internal Revenue Service to be exempt from taxation under the United States Internal Revenue Code of 1986, Section 501(c)(3) and have as a core program supporting permanent housing for veteran populations.  An organization awarded a grant under this section may use the funding for housing provider incentives, risk mitigation payments and past rental debt payments for veterans experiencing homelessness.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636, §1 (NEW).]</w:t>
      </w:r>
    </w:p>
    <w:p>
      <w:pPr>
        <w:jc w:val="both"/>
        <w:spacing w:before="100" w:after="0"/>
        <w:ind w:start="360"/>
        <w:ind w:firstLine="360"/>
      </w:pPr>
      <w:r>
        <w:rPr>
          <w:b/>
        </w:rPr>
        <w:t>3</w:t>
        <w:t xml:space="preserve">.  </w:t>
      </w:r>
      <w:r>
        <w:rPr>
          <w:b/>
        </w:rPr>
        <w:t xml:space="preserve">Rules.</w:t>
        <w:t xml:space="preserve"> </w:t>
      </w:r>
      <w:r>
        <w:t xml:space="preserve"> </w:t>
      </w:r>
      <w:r>
        <w:t xml:space="preserve">The bureau may adopt rules necessary to implement this section, including requirements for organizations to report on the use of grant funding received under this section.  Rules adopted under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636, §1 (NEW).]</w:t>
      </w:r>
    </w:p>
    <w:p>
      <w:pPr>
        <w:jc w:val="both"/>
        <w:spacing w:before="100" w:after="0"/>
        <w:ind w:start="360"/>
        <w:ind w:firstLine="360"/>
      </w:pPr>
      <w:r>
        <w:rPr>
          <w:b/>
        </w:rPr>
        <w:t>4</w:t>
        <w:t xml:space="preserve">.  </w:t>
      </w:r>
      <w:r>
        <w:rPr>
          <w:b/>
        </w:rPr>
        <w:t xml:space="preserve">Report.</w:t>
        <w:t xml:space="preserve"> </w:t>
      </w:r>
      <w:r>
        <w:t xml:space="preserve"> </w:t>
      </w:r>
      <w:r>
        <w:t xml:space="preserve">The bureau shall submit a report by February 15, 2027, and by February 15th in any year in which a grant is issued, regarding grants awarded to organizations under this section, including information from the organizations on their use of that funding, to the joint standing committee of the Legislature having jurisdiction over veterans affairs.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§513-B. Veterans' Housing Provider Incentive Program; establishment;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§513-B. Veterans' Housing Provider Incentive Program; establishment;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37-B, §513-B. VETERANS' HOUSING PROVIDER INCENTIVE PROGRAM; ESTABLISHMENT;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