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Purpose</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finds that beverage containers are a major source of nondegradable litter and solid waste in this State and that the collection and disposal of this litter and solid waste constitute a great financial burden for the citizens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to create incentives for the manufacturers, distributors, dealers and consumers of beverage containers to reuse or recycle beverage containers thereby removing the blight on the landscape caused by the disposal of these containers on the highways and lands of the State and reducing the increasing costs of litter collection and municipal solid waste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