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489-B</w:t>
        <w:t xml:space="preserve">.  </w:t>
      </w:r>
      <w:r>
        <w:rPr>
          <w:b/>
        </w:rPr>
        <w:t xml:space="preserve">Uranium and thorium mining</w:t>
      </w:r>
    </w:p>
    <w:p>
      <w:pPr>
        <w:jc w:val="both"/>
        <w:spacing w:before="100" w:after="100"/>
        <w:ind w:start="360"/>
        <w:ind w:firstLine="360"/>
      </w:pPr>
      <w:r>
        <w:rPr/>
      </w:r>
      <w:r>
        <w:rPr/>
      </w:r>
      <w:r>
        <w:t xml:space="preserve">Mining for uranium or thorium is prohibited within the State.</w:t>
      </w:r>
      <w:r>
        <w:t xml:space="preserve">  </w:t>
      </w:r>
      <w:r xmlns:wp="http://schemas.openxmlformats.org/drawingml/2010/wordprocessingDrawing" xmlns:w15="http://schemas.microsoft.com/office/word/2012/wordml">
        <w:rPr>
          <w:rFonts w:ascii="Arial" w:hAnsi="Arial" w:cs="Arial"/>
          <w:sz w:val="22"/>
          <w:szCs w:val="22"/>
        </w:rPr>
        <w:t xml:space="preserve">[PL 1989, c. 874,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§489-B. Uranium and thorium mining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§489-B. Uranium and thorium mining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§489-B. URANIUM AND THORIUM MINING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