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13080-B</w:t>
        <w:t xml:space="preserve">.  </w:t>
      </w:r>
      <w:r>
        <w:rPr>
          <w:b/>
        </w:rPr>
        <w:t xml:space="preserve">Loring Development Authority of Maine;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Adopt bylaws or regulations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 (COR); RR 2001, c. 2, Pt. B, §58 (AFF).]</w:t>
      </w:r>
    </w:p>
    <w:p>
      <w:pPr>
        <w:jc w:val="both"/>
        <w:spacing w:before="100" w:after="0"/>
        <w:ind w:start="720"/>
      </w:pPr>
      <w:r>
        <w:rPr/>
        <w:t>D</w:t>
        <w:t xml:space="preserve">.  </w:t>
      </w:r>
      <w:r>
        <w:rPr/>
      </w:r>
      <w:r>
        <w:t xml:space="preserve">Exercise the power of eminent domain;</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Provide for the public safety by imposing appropriate regulations, regulating appropriate use of the base facilities and enforcing laws and regulations as they apply to the use of the base facilities;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Charge and collect fees, charges and rents for the use of the properties and other services and use the proceeds of those fees, charges and rents for the purposes provided in this article, both subject to and in accordance with any agreement with bondholders that may be made as provided in this article.  Fees, charges and rents collected from properties contained in the public benefit transfer or otherwise generated by the airport must be used to support the development, maintenance and operation of aeronautical facilities and in accordance with Federal Aviation Administration Order 5190.6A;</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G</w:t>
        <w:t xml:space="preserve">.  </w:t>
      </w:r>
      <w:r>
        <w:rPr/>
      </w:r>
      <w:r>
        <w:t xml:space="preserve">Contract with the Federal Government or its instrumentalities or agencies, this State or its agencies, instrumentalities or municipalities, public bodies, private corporations, partnerships, associations, individuals and other persons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H</w:t>
        <w:t xml:space="preserve">.  </w:t>
      </w:r>
      <w:r>
        <w:rPr/>
      </w:r>
      <w:r>
        <w:t xml:space="preserve">Accept the cooperation of the Federal Government or its agencies in the construction, maintenance, reconstruction, operation and financing of the readjustment of the base and take necessary actions to utilize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I</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J</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or other revenues or property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K</w:t>
        <w:t xml:space="preserve">.  </w:t>
      </w:r>
      <w:r>
        <w:rPr/>
      </w:r>
      <w:r>
        <w:t xml:space="preserve">Enter into loan or security agreements with borrowers or one or more lending institutions, including, but not limited to, banks, insurance companies and pension funds, or trustees for those institutions for the purposes for which bonds may be issued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L</w:t>
        <w:t xml:space="preserve">.  </w:t>
      </w:r>
      <w:r>
        <w:rPr/>
      </w:r>
      <w:r>
        <w:t xml:space="preserve">Provide from operating revenues for the maintenance, construction or reconstruction of facilities to ensure the public safety for which the authority has not otherwise provided and in keeping with limitations set forth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M</w:t>
        <w:t xml:space="preserve">.  </w:t>
      </w:r>
      <w:r>
        <w:rPr/>
      </w:r>
      <w:r>
        <w:t xml:space="preserve">Use operating revenues to provide payment of obligations, if any, due to the United States to implement the readjustment or reuse of the facility.  Use of operating revenues for this purpose must be in accordance with the provisions of the Surplus Property Act, 50 United States Code App. Section 1622 et seq. and Federal Aviation Administration Order 5190.6A;</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N</w:t>
        <w:t xml:space="preserve">.  </w:t>
      </w:r>
      <w:r>
        <w:rPr/>
      </w:r>
      <w:r>
        <w:t xml:space="preserve">Adopt rules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O</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§2 (AMD).]</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13 voting members appointed by the Governor and subject to review by the joint standing committee of the Legislature having jurisdiction over economic development matters and to confirmation by the Senate.</w:t>
      </w:r>
    </w:p>
    <w:p>
      <w:pPr>
        <w:jc w:val="both"/>
        <w:spacing w:before="100" w:after="0"/>
        <w:ind w:start="720"/>
      </w:pPr>
      <w:r>
        <w:rPr/>
        <w:t>A</w:t>
        <w:t xml:space="preserve">.  </w:t>
      </w:r>
      <w:r>
        <w:rPr/>
      </w:r>
      <w:r>
        <w:t xml:space="preserve">Trustees are appointed for 4-year terms except that, for initial appointments, 3 trustees are appointed to one-year terms, 3 trustees to 2-year terms, 2 trustees to 3-year terms, 4 trustees to 4-year terms and the commissioner designated pursuant to </w:t>
      </w:r>
      <w:r>
        <w:t>paragraph D</w:t>
      </w:r>
      <w:r>
        <w:t xml:space="preserve">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166, §1 (AMD).]</w:t>
      </w:r>
    </w:p>
    <w:p>
      <w:pPr>
        <w:jc w:val="both"/>
        <w:spacing w:before="100" w:after="0"/>
        <w:ind w:start="720"/>
      </w:pPr>
      <w:r>
        <w:rPr/>
        <w:t>B</w:t>
        <w:t xml:space="preserve">.  </w:t>
      </w:r>
      <w:r>
        <w:rPr/>
      </w:r>
      <w:r>
        <w:t xml:space="preserve">A trustee continues to hold office until a successor is appointed and qualified, but the term of the successor is not altered from the original expiration date of the holdover trustee's term.</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The Governor shall make 12 appointments, of which no less than 7 must be from candidates who are residents of Aroostook County and are nominated by the primary impact communities.  The Governor shall appoint members who reflect the diversity of interests represented by these communities.  At least 4 of the remaining  appointments must be from candidates who are not residents of Aroostook County.</w:t>
      </w:r>
      <w:r>
        <w:t xml:space="preserve">  </w:t>
      </w:r>
      <w:r xmlns:wp="http://schemas.openxmlformats.org/drawingml/2010/wordprocessingDrawing" xmlns:w15="http://schemas.microsoft.com/office/word/2012/wordml">
        <w:rPr>
          <w:rFonts w:ascii="Arial" w:hAnsi="Arial" w:cs="Arial"/>
          <w:sz w:val="22"/>
          <w:szCs w:val="22"/>
        </w:rPr>
        <w:t xml:space="preserve">[PL 1995, c. 166, §1 (AMD).]</w:t>
      </w:r>
    </w:p>
    <w:p>
      <w:pPr>
        <w:jc w:val="both"/>
        <w:spacing w:before="100" w:after="0"/>
        <w:ind w:start="720"/>
      </w:pPr>
      <w:r>
        <w:rPr/>
        <w:t>D</w:t>
        <w:t xml:space="preserve">.  </w:t>
      </w:r>
      <w:r>
        <w:rPr/>
      </w:r>
      <w:r>
        <w:t xml:space="preserve">The Governor shall designate a commissioner of a department of State Government to be a voting, ex officio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166, §1 (AMD).]</w:t>
      </w:r>
    </w:p>
    <w:p>
      <w:pPr>
        <w:jc w:val="both"/>
        <w:spacing w:before="100" w:after="0"/>
        <w:ind w:start="360"/>
        <w:ind w:firstLine="360"/>
      </w:pPr>
      <w:r>
        <w:rPr>
          <w:b/>
        </w:rPr>
        <w:t>3</w:t>
        <w:t xml:space="preserve">.  </w:t>
      </w:r>
      <w:r>
        <w:rPr>
          <w:b/>
        </w:rPr>
        <w:t xml:space="preserve">Quorum.</w:t>
        <w:t xml:space="preserve"> </w:t>
      </w:r>
      <w:r>
        <w:t xml:space="preserve"> </w:t>
      </w:r>
      <w:r>
        <w:t xml:space="preserve">Seven members constitute a quorum.  Seven affirmative votes are required for the board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166, §1 (AMD).]</w:t>
      </w:r>
    </w:p>
    <w:p>
      <w:pPr>
        <w:jc w:val="both"/>
        <w:spacing w:before="100" w:after="0"/>
        <w:ind w:start="360"/>
        <w:ind w:firstLine="360"/>
      </w:pPr>
      <w:r>
        <w:rPr>
          <w:b/>
        </w:rPr>
        <w:t>4</w:t>
        <w:t xml:space="preserve">.  </w:t>
      </w:r>
      <w:r>
        <w:rPr>
          <w:b/>
        </w:rPr>
        <w:t xml:space="preserve">Liability.</w:t>
        <w:t xml:space="preserve"> </w:t>
      </w:r>
      <w:r>
        <w:t xml:space="preserve"> </w:t>
      </w:r>
      <w:r>
        <w:t xml:space="preserve">The liability of the authority is governed by the Maine Tort Claims Act, </w:t>
      </w:r>
      <w:r>
        <w:t>Title 14, chapter 741</w:t>
      </w:r>
      <w:r>
        <w:t xml:space="preserve">.  A member of the authority, a member of a board of the authority and an employee of the authority may not be subject to any personal liability for having acted in the service of their duty as board members of the authority within the course and scope of membership or employment to carry out a power or duty under this chapter.  The authority shall indemnify a member of the authority, a member of a board of the authority and an employee of the authority against expenses actually and necessarily incurred in connection with the defense of an action or proceeding in which the member or employee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 §1 (AMD).]</w:t>
      </w:r>
    </w:p>
    <w:p>
      <w:pPr>
        <w:jc w:val="both"/>
        <w:spacing w:before="100" w:after="0"/>
        <w:ind w:start="360"/>
        <w:ind w:firstLine="360"/>
      </w:pPr>
      <w:r>
        <w:rPr>
          <w:b/>
        </w:rPr>
        <w:t>5</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Officers; employees.</w:t>
        <w:t xml:space="preserve"> </w:t>
      </w:r>
      <w:r>
        <w:t xml:space="preserve"> </w:t>
      </w:r>
      <w:r>
        <w:t xml:space="preserve">The trustees shall elect a chair and vice-chair from among their members.  The authority may employ an executive director, technical experts and other agents and employees, permanent and temporary, that it requires and may determine their qualifications, duties and compensation.  Permanent employees of the authority are eligible to elect to participate in the Maine Public Employees Retirement System, any state-deferred compensation plan or any other plan or program adopted by the trustees to the extent the trustees may determine.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§2 (AMD); PL 2007, c. 58, §3 (REV).]</w:t>
      </w:r>
    </w:p>
    <w:p>
      <w:pPr>
        <w:jc w:val="both"/>
        <w:spacing w:before="100" w:after="0"/>
        <w:ind w:start="360"/>
        <w:ind w:firstLine="360"/>
      </w:pPr>
      <w:r>
        <w:rPr>
          <w:b/>
        </w:rPr>
        <w:t>7</w:t>
        <w:t xml:space="preserve">.  </w:t>
      </w:r>
      <w:r>
        <w:rPr>
          <w:b/>
        </w:rPr>
        <w:t xml:space="preserve">Term limits.</w:t>
        <w:t xml:space="preserve"> </w:t>
      </w:r>
      <w:r>
        <w:t xml:space="preserve"> </w:t>
      </w:r>
      <w:r>
        <w:t xml:space="preserve">A person may not serve more than 2 consecutive 4-year terms as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§1 (NEW); PL 1995, c. 644,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§§3,4 (AMD). PL 1995, c. 166, §1 (AMD). PL 1995, c. 495, §2 (AMD). PL 1995, c. 644, §1 (AMD). PL 1995, c. 644, §3 (AFF). PL 1997, c. 71, §1 (AMD). RR 2001, c. 2, §B3 (COR). RR 2001, c. 2, §B58 (AFF). PL 2003, c. 598, §2 (AMD).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§13080-B. Loring Development Authority of Maine; powers; membership;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§13080-B. Loring Development Authority of Maine; powers; membership;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§13080-B. LORING DEVELOPMENT AUTHORITY OF MAINE; POWERS; MEMBERSHIP;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