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Scope of budget</w:t>
      </w:r>
    </w:p>
    <w:p>
      <w:pPr>
        <w:jc w:val="both"/>
        <w:spacing w:before="100" w:after="100"/>
        <w:ind w:start="360"/>
        <w:ind w:firstLine="360"/>
      </w:pPr>
      <w:r>
        <w:rPr/>
      </w:r>
      <w:r>
        <w:rPr/>
      </w:r>
      <w:r>
        <w:t xml:space="preserve">The budget of the State Government shall present a complete financial plan for each fiscal year of the ensuing biennium. It shall set forth all proposed expenditures for the administration, operation and maintenance of the departments and agencies of the State Government; all interest and debt redemption charges during each fiscal year and all expenditures for capital projects to be undertaken and executed during each fiscal year of the biennium. In addition thereto, the state budget shall set forth the anticipated revenues of the State Government and any other additional means of financing expenditures proposed for each fiscal year of the biennium.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§1663. Scope of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Scope of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§1663. SCOPE OF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