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200-O</w:t>
        <w:t xml:space="preserve">.  </w:t>
      </w:r>
      <w:r>
        <w:rPr>
          <w:b/>
        </w:rPr>
        <w:t xml:space="preserve">Model policies and guidance for limiting authority to consent for entry or records review</w:t>
      </w:r>
    </w:p>
    <w:p>
      <w:pPr>
        <w:jc w:val="both"/>
        <w:spacing w:before="100" w:after="0"/>
        <w:ind w:start="360"/>
        <w:ind w:firstLine="360"/>
      </w:pPr>
      <w:r>
        <w:rPr>
          <w:b/>
        </w:rPr>
        <w:t>1</w:t>
        <w:t xml:space="preserve">.  </w:t>
      </w:r>
      <w:r>
        <w:rPr>
          <w:b/>
        </w:rPr>
        <w:t xml:space="preserve">Model policies and guidance.</w:t>
        <w:t xml:space="preserve"> </w:t>
      </w:r>
      <w:r>
        <w:t xml:space="preserve"> </w:t>
      </w:r>
      <w:r>
        <w:t xml:space="preserve">No later than 60 days after the effective date of this section, the Attorney General shall publish model policies and guidance for ensuring that facilities providing services to members of the public remain safe and accessible to all state residents regardless of immigration status by limiting, to the fullest extent possible consistent with state and federal law, voluntary consent for entry into nonpublic areas of the facility by law enforcement officers for immigration enforcement purposes and disclosure of protected records held by the facility to law enforcement officers for immigration enforcement purposes.  The Attorney General shall review and may amend the published model policies and guidance on a biennial basis.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§1 (NEW).]</w:t>
      </w:r>
    </w:p>
    <w:p>
      <w:pPr>
        <w:jc w:val="both"/>
        <w:spacing w:before="100" w:after="100"/>
        <w:ind w:start="360"/>
        <w:ind w:firstLine="360"/>
      </w:pPr>
      <w:r>
        <w:rPr>
          <w:b/>
        </w:rPr>
        <w:t>2</w:t>
        <w:t xml:space="preserve">.  </w:t>
      </w:r>
      <w:r>
        <w:rPr>
          <w:b/>
        </w:rPr>
        <w:t xml:space="preserve">Mandatory adoption of model policies and guidance.</w:t>
        <w:t xml:space="preserve"> </w:t>
      </w:r>
      <w:r>
        <w:t xml:space="preserve"> </w:t>
      </w:r>
      <w:r>
        <w:t xml:space="preserve">The following facilities shall adopt the model policies and guidance published by the Attorney General under </w:t>
      </w:r>
      <w:r>
        <w:t>subsection 1</w:t>
      </w:r>
      <w:r>
        <w:t xml:space="preserve">, or establish equivalent policies and guidance, within 3 months of the date that the Attorney General publishes the model policies and guidance applicable to the facility and within 3 months of the date that the Attorney General publishes any amended model policies and guidance applicable to the facility:</w:t>
      </w:r>
    </w:p>
    <w:p>
      <w:pPr>
        <w:jc w:val="both"/>
        <w:spacing w:before="100" w:after="0"/>
        <w:ind w:start="720"/>
      </w:pPr>
      <w:r>
        <w:rPr/>
        <w:t>A</w:t>
        <w:t xml:space="preserve">.  </w:t>
      </w:r>
      <w:r>
        <w:rPr/>
      </w:r>
      <w:r>
        <w:t xml:space="preserve">Public schools and postsecondary educational institutions as provided in </w:t>
      </w:r>
      <w:r>
        <w:t>Title 20‑A, section 14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770, §1 (NEW).]</w:t>
      </w:r>
    </w:p>
    <w:p>
      <w:pPr>
        <w:jc w:val="both"/>
        <w:spacing w:before="100" w:after="0"/>
        <w:ind w:start="720"/>
      </w:pPr>
      <w:r>
        <w:rPr/>
        <w:t>B</w:t>
        <w:t xml:space="preserve">.  </w:t>
      </w:r>
      <w:r>
        <w:rPr/>
      </w:r>
      <w:r>
        <w:t xml:space="preserve">State institutions as provided in </w:t>
      </w:r>
      <w:r>
        <w:t>Title 22, section 1730‑B</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2025, c. 770, §1 (NEW).]</w:t>
      </w:r>
    </w:p>
    <w:p>
      <w:pPr>
        <w:jc w:val="both"/>
        <w:spacing w:before="100" w:after="0"/>
        <w:ind w:start="720"/>
      </w:pPr>
      <w:r>
        <w:rPr/>
        <w:t>C</w:t>
        <w:t xml:space="preserve">.  </w:t>
      </w:r>
      <w:r>
        <w:rPr/>
      </w:r>
      <w:r>
        <w:t xml:space="preserve">State libraries as provided in </w:t>
      </w:r>
      <w:r>
        <w:t>Title 27, section 109‑A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770,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§1 (NEW).]</w:t>
      </w:r>
    </w:p>
    <w:p>
      <w:pPr>
        <w:jc w:val="both"/>
        <w:spacing w:before="100" w:after="100"/>
        <w:ind w:start="360"/>
        <w:ind w:firstLine="360"/>
      </w:pPr>
      <w:r>
        <w:rPr>
          <w:b/>
        </w:rPr>
        <w:t>3</w:t>
        <w:t xml:space="preserve">.  </w:t>
      </w:r>
      <w:r>
        <w:rPr>
          <w:b/>
        </w:rPr>
        <w:t xml:space="preserve">Optional adoption of model policies and guidance.</w:t>
        <w:t xml:space="preserve"> </w:t>
      </w:r>
      <w:r>
        <w:t xml:space="preserve"> </w:t>
      </w:r>
      <w:r>
        <w:t xml:space="preserve">The following facilities may, but are not required to, adopt the model policies and guidance or an amendment to the model policies and guidance published by the Attorney General under </w:t>
      </w:r>
      <w:r>
        <w:t>subsection 1</w:t>
      </w:r>
      <w:r>
        <w:t xml:space="preserve">:</w:t>
      </w:r>
    </w:p>
    <w:p>
      <w:pPr>
        <w:jc w:val="both"/>
        <w:spacing w:before="100" w:after="0"/>
        <w:ind w:start="720"/>
      </w:pPr>
      <w:r>
        <w:rPr/>
        <w:t>A</w:t>
        <w:t xml:space="preserve">.  </w:t>
      </w:r>
      <w:r>
        <w:rPr/>
      </w:r>
      <w:r>
        <w:t xml:space="preserve">A private preschool, private elementary school, private secondary school or private postsecondary educational institution that is not subject to </w:t>
      </w:r>
      <w:r>
        <w:t>Title 20‑A, section 14, subsection 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770, §1 (NEW).]</w:t>
      </w:r>
    </w:p>
    <w:p>
      <w:pPr>
        <w:jc w:val="both"/>
        <w:spacing w:before="100" w:after="0"/>
        <w:ind w:start="720"/>
      </w:pPr>
      <w:r>
        <w:rPr/>
        <w:t>B</w:t>
        <w:t xml:space="preserve">.  </w:t>
      </w:r>
      <w:r>
        <w:rPr/>
      </w:r>
      <w:r>
        <w:t xml:space="preserve">A health care facility that is not subject to </w:t>
      </w:r>
      <w:r>
        <w:t>Title 22, section 1730‑B, subsection 5</w:t>
      </w:r>
      <w:r>
        <w:t xml:space="preserve">.  For purposes of this paragraph, "health care facility" has the same meaning as in </w:t>
      </w:r>
      <w:r>
        <w:t>section 19201, subsection 2‑B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770, §1 (NEW).]</w:t>
      </w:r>
    </w:p>
    <w:p>
      <w:pPr>
        <w:jc w:val="both"/>
        <w:spacing w:before="100" w:after="0"/>
        <w:ind w:start="720"/>
      </w:pPr>
      <w:r>
        <w:rPr/>
        <w:t>C</w:t>
        <w:t xml:space="preserve">.  </w:t>
      </w:r>
      <w:r>
        <w:rPr/>
      </w:r>
      <w:r>
        <w:t xml:space="preserve">A facility that provides residential or community supports for adults or children or a facility or program that provides health care, assisted living services, behavioral health services, services to persons with intellectual disabilities, autism spectrum disorder or acquired brain injuries or similar services that is not subject to </w:t>
      </w:r>
      <w:r>
        <w:t>Title 22, section 1730‑B, subsection 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770, §1 (NEW).]</w:t>
      </w:r>
    </w:p>
    <w:p>
      <w:pPr>
        <w:jc w:val="both"/>
        <w:spacing w:before="100" w:after="0"/>
        <w:ind w:start="720"/>
      </w:pPr>
      <w:r>
        <w:rPr/>
        <w:t>D</w:t>
        <w:t xml:space="preserve">.  </w:t>
      </w:r>
      <w:r>
        <w:rPr/>
      </w:r>
      <w:r>
        <w:t xml:space="preserve">A child care facility or family child care provider licensed under </w:t>
      </w:r>
      <w:r>
        <w:t>Title 22, section 8301‑A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770, §1 (NEW).]</w:t>
      </w:r>
    </w:p>
    <w:p>
      <w:pPr>
        <w:jc w:val="both"/>
        <w:spacing w:before="100" w:after="0"/>
        <w:ind w:start="720"/>
      </w:pPr>
      <w:r>
        <w:rPr/>
        <w:t>E</w:t>
        <w:t xml:space="preserve">.  </w:t>
      </w:r>
      <w:r>
        <w:rPr/>
      </w:r>
      <w:r>
        <w:t xml:space="preserve">A public library that is not subject to </w:t>
      </w:r>
      <w:r>
        <w:t>Title 27, section 109‑A, subsection 5</w:t>
      </w:r>
      <w:r>
        <w:t xml:space="preserve">.  For purposes of this paragraph, "public library" has the same meaning as in </w:t>
      </w:r>
      <w:r>
        <w:t>Title 27, section 110, subsection 10</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2025, c. 770, §1 (NEW).]</w:t>
      </w:r>
    </w:p>
    <w:p>
      <w:pPr>
        <w:jc w:val="both"/>
        <w:spacing w:before="100" w:after="0"/>
        <w:ind w:start="720"/>
      </w:pPr>
      <w:r>
        <w:rPr/>
        <w:t>F</w:t>
        <w:t xml:space="preserve">.  </w:t>
      </w:r>
      <w:r>
        <w:rPr/>
      </w:r>
      <w:r>
        <w:t xml:space="preserve">A house of worship or other place where religious services are conducted.</w:t>
      </w:r>
      <w:r>
        <w:t xml:space="preserve">  </w:t>
      </w:r>
      <w:r xmlns:wp="http://schemas.openxmlformats.org/drawingml/2010/wordprocessingDrawing" xmlns:w15="http://schemas.microsoft.com/office/word/2012/wordml">
        <w:rPr>
          <w:rFonts w:ascii="Arial" w:hAnsi="Arial" w:cs="Arial"/>
          <w:sz w:val="22"/>
          <w:szCs w:val="22"/>
        </w:rPr>
        <w:t xml:space="preserve">[PL 2025, c. 770,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770,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§200-O. Model policies and guidance for limiting authority to consent for entry or records review</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§200-O. Model policies and guidance for limiting authority to consent for entry or records review</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§200-O. MODEL POLICIES AND GUIDANCE FOR LIMITING AUTHORITY TO CONSENT FOR ENTRY OR RECORDS REVIEW</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