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542</w:t>
        <w:t xml:space="preserve">.  </w:t>
      </w:r>
      <w:r>
        <w:rPr>
          <w:b/>
        </w:rPr>
        <w:t xml:space="preserve">Records</w:t>
      </w:r>
    </w:p>
    <w:p>
      <w:pPr>
        <w:jc w:val="both"/>
        <w:spacing w:before="100" w:after="100"/>
        <w:ind w:start="360"/>
        <w:ind w:firstLine="360"/>
      </w:pPr>
      <w:r>
        <w:rPr/>
      </w:r>
      <w:r>
        <w:rPr/>
      </w:r>
      <w:r>
        <w:t xml:space="preserve">A record on a form approved by the commissioner must be kept at a convenient location adjacent to such room or storage building from the day of sealing to the day of opening of such room or storage building, and is subject to review by the commissioner or the commissioner's authorized agents at any time for a period of at least one year. It must include the owner or operator's name and address, room number, date of sealing, date of opening, capacity in bushels, lot identification, number of bushels within each lot, daily air components determination recordings showing date of test, time of test, percentage of carbon dioxide, percentage of carbon dioxide and oxygen, percentage of oxygen, temperature and comments.</w:t>
      </w:r>
      <w:r>
        <w:t xml:space="preserve">  </w:t>
      </w:r>
      <w:r xmlns:wp="http://schemas.openxmlformats.org/drawingml/2010/wordprocessingDrawing" xmlns:w15="http://schemas.microsoft.com/office/word/2012/wordml">
        <w:rPr>
          <w:rFonts w:ascii="Arial" w:hAnsi="Arial" w:cs="Arial"/>
          <w:sz w:val="22"/>
          <w:szCs w:val="22"/>
        </w:rPr>
        <w:t xml:space="preserve">[RR 2021, c. 1, Pt. B, §90 (COR).]</w:t>
      </w:r>
    </w:p>
    <w:p>
      <w:pPr>
        <w:jc w:val="both"/>
        <w:spacing w:before="100" w:after="100"/>
        <w:ind w:start="360"/>
        <w:ind w:firstLine="360"/>
      </w:pPr>
      <w:r>
        <w:rPr/>
      </w:r>
      <w:r>
        <w:rPr/>
      </w:r>
      <w:r>
        <w:t xml:space="preserve">Each owner or operator shall submit to the department, within 20 days after date of sealing, a report in writing for each room showing room number, date of sealing and number of bushels contained therein.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§542.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§542.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§542.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