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LOANS</w:t>
      </w:r>
    </w:p>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and to credit unions organized pursuant to provisions of federal law or credit unions organized under the laws of another state as long as the aggregate loans outstanding at any one time to any one credit union do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2023, c. 539, §5 (AMD). </w:t>
      </w:r>
    </w:p>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