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Voluntary closure of Maine branch, Maine agency or Maine representative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§1323. VOLUNTARY CLOSURE OF MAINE BRANCH, MAINE AGENCY OR MAINE REPRESENTATIVE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