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Interstate operations of out-of-state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An out-of-state foreign bank may establish a branch or agency in this State in accordance with the procedures set forth in </w:t>
      </w:r>
      <w:r>
        <w:t>section 373, subsection 3</w:t>
      </w:r>
      <w:r>
        <w:t xml:space="preserve">.  The establishment of that branch or agency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The activities of branches or agencies located in this State by out-of-state foreign banks are governed by the provisions of this chapter and </w:t>
      </w:r>
      <w:r>
        <w:t>section 376,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 Interstate operations of out-of-state foreign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Interstate operations of out-of-state foreign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§1328. INTERSTATE OPERATIONS OF OUT-OF-STATE FOREIGN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