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Declaration of emergency by Governor</w:t>
      </w:r>
    </w:p>
    <w:p>
      <w:pPr>
        <w:jc w:val="both"/>
        <w:spacing w:before="100" w:after="100"/>
        <w:ind w:start="360"/>
        <w:ind w:firstLine="360"/>
      </w:pPr>
      <w:r>
        <w:rPr/>
      </w:r>
      <w:r>
        <w:rPr/>
      </w:r>
      <w:r>
        <w:t xml:space="preserve">Whenever it shall appear to the Governor that the welfare and security of financial institutions and credit unions under the supervision of the superintendent, or their depositors, shareholders, staffs or customers, require, or that the welfare of the State, any section thereof, the inhabitants thereof, financial institutions, credit unions, their depositors, shareholders or staffs have been or may be adversely affected by actual or threatened national emergency, forces of the natural elements, fires, explosions, strikes, epidemics, civil strife or commotion, or any other circumstances hazardous or dangerous to life, limb or property, the Governor may proclaim that a banking emergency exists. The Governor may declare such banking holidays as in his judgment such emergency conditions may require and that any financial institution or institutions and credit union or credit unions shall be subject to special regulation as provided until the Governor, by a like proclamation, declares the period of such emergency to have terminated if he has not defined such period in the original proclamation.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 Declaration of emergency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Declaration of emergency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§151. DECLARATION OF EMERGENCY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