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 Annual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Annual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§217. ANNUAL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