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Records to be kept by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§224. RECORDS TO BE KEPT BY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