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 Notice to Federal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Notice to Federal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§234. NOTICE TO FEDERAL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