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§355-A. Authority for expedited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§355-A. Authority for expedited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§355-A. AUTHORITY FOR EXPEDITED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