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7-A. Additional authority in conservation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A. Additional authority in conservation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7-A. ADDITIONAL AUTHORITY IN CONSERVATION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